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FE" w:rsidRDefault="00ED23FE">
      <w:pPr>
        <w:rPr>
          <w:lang w:val="en-US"/>
        </w:rPr>
      </w:pPr>
      <w:bookmarkStart w:id="0" w:name="_GoBack"/>
      <w:bookmarkEnd w:id="0"/>
    </w:p>
    <w:p w:rsidR="009A4320" w:rsidRDefault="009A4320" w:rsidP="009A4320">
      <w:pPr>
        <w:jc w:val="center"/>
      </w:pPr>
      <w:bookmarkStart w:id="1" w:name="_Toc135451778"/>
    </w:p>
    <w:p w:rsidR="009A4320" w:rsidRDefault="009A4320" w:rsidP="009A4320">
      <w:pPr>
        <w:jc w:val="center"/>
        <w:rPr>
          <w:b/>
          <w:spacing w:val="120"/>
          <w:sz w:val="50"/>
        </w:rPr>
      </w:pPr>
      <w:r>
        <w:rPr>
          <w:noProof/>
          <w:lang w:val="en-GB" w:eastAsia="en-GB"/>
        </w:rPr>
        <w:drawing>
          <wp:inline distT="0" distB="0" distL="0" distR="0" wp14:anchorId="15205B42" wp14:editId="1559BBF6">
            <wp:extent cx="4029075" cy="514350"/>
            <wp:effectExtent l="0" t="0" r="9525" b="0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320" w:rsidRDefault="009A4320" w:rsidP="009A4320">
      <w:pPr>
        <w:jc w:val="center"/>
        <w:rPr>
          <w:sz w:val="12"/>
        </w:rPr>
      </w:pPr>
    </w:p>
    <w:p w:rsidR="009A4320" w:rsidRDefault="009A4320" w:rsidP="009A4320">
      <w:pPr>
        <w:pBdr>
          <w:bottom w:val="double" w:sz="6" w:space="31" w:color="auto"/>
        </w:pBdr>
        <w:tabs>
          <w:tab w:val="right" w:pos="432"/>
        </w:tabs>
        <w:jc w:val="both"/>
        <w:rPr>
          <w:rFonts w:ascii="CG Times" w:hAnsi="CG Times"/>
          <w:sz w:val="10"/>
        </w:rPr>
      </w:pPr>
    </w:p>
    <w:p w:rsidR="009A4320" w:rsidRDefault="009A4320" w:rsidP="009A4320">
      <w:pPr>
        <w:tabs>
          <w:tab w:val="left" w:pos="1418"/>
        </w:tabs>
        <w:jc w:val="right"/>
        <w:rPr>
          <w:sz w:val="22"/>
        </w:rPr>
      </w:pPr>
    </w:p>
    <w:p w:rsidR="009A4320" w:rsidRDefault="009A4320" w:rsidP="009A4320">
      <w:pPr>
        <w:tabs>
          <w:tab w:val="left" w:pos="1418"/>
        </w:tabs>
        <w:jc w:val="right"/>
        <w:rPr>
          <w:sz w:val="22"/>
        </w:rPr>
      </w:pPr>
      <w:r>
        <w:rPr>
          <w:sz w:val="22"/>
        </w:rPr>
        <w:t xml:space="preserve">Date: </w:t>
      </w:r>
      <w:r w:rsidR="00787A3F">
        <w:rPr>
          <w:sz w:val="22"/>
        </w:rPr>
        <w:t xml:space="preserve">30 </w:t>
      </w:r>
      <w:r w:rsidR="00B0558B">
        <w:rPr>
          <w:sz w:val="22"/>
        </w:rPr>
        <w:t>April 2015</w:t>
      </w:r>
      <w:r w:rsidR="00873A54">
        <w:rPr>
          <w:sz w:val="22"/>
        </w:rPr>
        <w:t xml:space="preserve"> </w:t>
      </w:r>
      <w:r>
        <w:rPr>
          <w:sz w:val="22"/>
        </w:rPr>
        <w:t xml:space="preserve">  </w:t>
      </w:r>
    </w:p>
    <w:p w:rsidR="009A4320" w:rsidRPr="009E41E5" w:rsidRDefault="00787A3F" w:rsidP="009A4320">
      <w:pPr>
        <w:tabs>
          <w:tab w:val="left" w:pos="1701"/>
        </w:tabs>
        <w:ind w:left="1440" w:hanging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Clarification Note No. 1</w:t>
      </w:r>
    </w:p>
    <w:p w:rsidR="009A4320" w:rsidRDefault="001A27CF" w:rsidP="009A4320">
      <w:pPr>
        <w:pStyle w:val="Heading1"/>
        <w:jc w:val="both"/>
        <w:rPr>
          <w:rFonts w:ascii="Times New Roman" w:hAnsi="Times New Roman"/>
          <w:sz w:val="22"/>
          <w:szCs w:val="22"/>
        </w:rPr>
      </w:pPr>
      <w:bookmarkStart w:id="2" w:name="_Toc135451757"/>
      <w:bookmarkStart w:id="3" w:name="_Toc81880365"/>
      <w:r>
        <w:rPr>
          <w:rFonts w:ascii="Times New Roman" w:hAnsi="Times New Roman"/>
          <w:sz w:val="22"/>
          <w:szCs w:val="22"/>
        </w:rPr>
        <w:t>Invitation to Bid</w:t>
      </w:r>
      <w:r w:rsidR="00371BBD">
        <w:rPr>
          <w:rFonts w:ascii="Times New Roman" w:hAnsi="Times New Roman"/>
          <w:sz w:val="22"/>
          <w:szCs w:val="22"/>
        </w:rPr>
        <w:t xml:space="preserve"> </w:t>
      </w:r>
      <w:r w:rsidR="009A4320">
        <w:rPr>
          <w:rFonts w:ascii="Times New Roman" w:hAnsi="Times New Roman"/>
          <w:sz w:val="22"/>
          <w:szCs w:val="22"/>
        </w:rPr>
        <w:t xml:space="preserve">No. </w:t>
      </w:r>
      <w:r>
        <w:rPr>
          <w:rFonts w:ascii="Times New Roman" w:hAnsi="Times New Roman"/>
          <w:sz w:val="22"/>
          <w:szCs w:val="22"/>
        </w:rPr>
        <w:t>SEC/</w:t>
      </w:r>
      <w:r w:rsidR="00787A3F">
        <w:rPr>
          <w:rFonts w:ascii="Times New Roman" w:hAnsi="Times New Roman"/>
          <w:sz w:val="22"/>
          <w:szCs w:val="22"/>
        </w:rPr>
        <w:t>09</w:t>
      </w:r>
      <w:r w:rsidR="00FF73A8">
        <w:rPr>
          <w:rFonts w:ascii="Times New Roman" w:hAnsi="Times New Roman"/>
          <w:sz w:val="22"/>
          <w:szCs w:val="22"/>
        </w:rPr>
        <w:t>/201</w:t>
      </w:r>
      <w:r w:rsidR="00DE26A4">
        <w:rPr>
          <w:rFonts w:ascii="Times New Roman" w:hAnsi="Times New Roman"/>
          <w:sz w:val="22"/>
          <w:szCs w:val="22"/>
        </w:rPr>
        <w:t>5</w:t>
      </w:r>
      <w:r w:rsidR="00FF73A8">
        <w:rPr>
          <w:rFonts w:ascii="Times New Roman" w:hAnsi="Times New Roman"/>
          <w:sz w:val="22"/>
          <w:szCs w:val="22"/>
        </w:rPr>
        <w:t xml:space="preserve"> </w:t>
      </w:r>
      <w:r w:rsidR="00DE26A4">
        <w:rPr>
          <w:rFonts w:ascii="Times New Roman" w:hAnsi="Times New Roman"/>
          <w:sz w:val="22"/>
          <w:szCs w:val="22"/>
        </w:rPr>
        <w:t>–</w:t>
      </w:r>
      <w:r w:rsidR="009A4320">
        <w:rPr>
          <w:rFonts w:ascii="Times New Roman" w:hAnsi="Times New Roman"/>
          <w:sz w:val="22"/>
          <w:szCs w:val="22"/>
        </w:rPr>
        <w:t xml:space="preserve"> </w:t>
      </w:r>
      <w:bookmarkEnd w:id="2"/>
      <w:bookmarkEnd w:id="3"/>
      <w:r w:rsidR="00787A3F">
        <w:rPr>
          <w:rFonts w:ascii="Times New Roman" w:hAnsi="Times New Roman"/>
          <w:sz w:val="22"/>
          <w:szCs w:val="22"/>
        </w:rPr>
        <w:t xml:space="preserve">Provision of Security Guard Services for the OSCE Secretariat </w:t>
      </w:r>
    </w:p>
    <w:p w:rsidR="009A4320" w:rsidRDefault="009A4320" w:rsidP="009A4320">
      <w:pPr>
        <w:pBdr>
          <w:bottom w:val="double" w:sz="6" w:space="0" w:color="auto"/>
        </w:pBdr>
        <w:tabs>
          <w:tab w:val="left" w:pos="1701"/>
        </w:tabs>
        <w:jc w:val="both"/>
        <w:rPr>
          <w:b/>
          <w:sz w:val="22"/>
        </w:rPr>
      </w:pPr>
    </w:p>
    <w:p w:rsidR="009A4320" w:rsidRDefault="009A4320" w:rsidP="009A4320">
      <w:pPr>
        <w:rPr>
          <w:sz w:val="22"/>
        </w:rPr>
      </w:pPr>
    </w:p>
    <w:p w:rsidR="009565E6" w:rsidRDefault="009565E6" w:rsidP="009A4320">
      <w:pPr>
        <w:jc w:val="both"/>
        <w:rPr>
          <w:sz w:val="24"/>
          <w:szCs w:val="24"/>
        </w:rPr>
      </w:pPr>
    </w:p>
    <w:p w:rsidR="009A4320" w:rsidRPr="00EB6D2B" w:rsidRDefault="009A4320" w:rsidP="009A4320">
      <w:pPr>
        <w:jc w:val="both"/>
        <w:rPr>
          <w:sz w:val="24"/>
          <w:szCs w:val="24"/>
        </w:rPr>
      </w:pPr>
      <w:r w:rsidRPr="00EB6D2B">
        <w:rPr>
          <w:sz w:val="24"/>
          <w:szCs w:val="24"/>
        </w:rPr>
        <w:t xml:space="preserve">The Organization for Security and Co-operation in </w:t>
      </w:r>
      <w:r w:rsidR="00A75936" w:rsidRPr="00EB6D2B">
        <w:rPr>
          <w:sz w:val="24"/>
          <w:szCs w:val="24"/>
        </w:rPr>
        <w:t>Europe has received a</w:t>
      </w:r>
      <w:r w:rsidRPr="00EB6D2B">
        <w:rPr>
          <w:sz w:val="24"/>
          <w:szCs w:val="24"/>
        </w:rPr>
        <w:t xml:space="preserve"> request for clar</w:t>
      </w:r>
      <w:r w:rsidR="00EB7E90" w:rsidRPr="00EB6D2B">
        <w:rPr>
          <w:sz w:val="24"/>
          <w:szCs w:val="24"/>
        </w:rPr>
        <w:t>ification from potential bidders</w:t>
      </w:r>
      <w:r w:rsidRPr="00EB6D2B">
        <w:rPr>
          <w:sz w:val="24"/>
          <w:szCs w:val="24"/>
        </w:rPr>
        <w:t xml:space="preserve"> with regard</w:t>
      </w:r>
      <w:r w:rsidR="00A75936" w:rsidRPr="00EB6D2B">
        <w:rPr>
          <w:sz w:val="24"/>
          <w:szCs w:val="24"/>
        </w:rPr>
        <w:t xml:space="preserve"> to </w:t>
      </w:r>
      <w:r w:rsidR="00773F68" w:rsidRPr="00773F68">
        <w:rPr>
          <w:b/>
          <w:i/>
          <w:sz w:val="24"/>
          <w:szCs w:val="24"/>
        </w:rPr>
        <w:t xml:space="preserve">qualification </w:t>
      </w:r>
      <w:r w:rsidR="000241C6">
        <w:rPr>
          <w:b/>
          <w:i/>
          <w:sz w:val="24"/>
          <w:szCs w:val="24"/>
        </w:rPr>
        <w:t xml:space="preserve">for security guards. </w:t>
      </w:r>
    </w:p>
    <w:p w:rsidR="009A4320" w:rsidRDefault="009A4320" w:rsidP="009A4320">
      <w:pPr>
        <w:rPr>
          <w:sz w:val="22"/>
        </w:rPr>
      </w:pPr>
    </w:p>
    <w:p w:rsidR="009A4320" w:rsidRDefault="00D370DB" w:rsidP="009A4320">
      <w:pPr>
        <w:jc w:val="both"/>
        <w:rPr>
          <w:sz w:val="24"/>
          <w:szCs w:val="24"/>
        </w:rPr>
      </w:pPr>
      <w:r>
        <w:rPr>
          <w:sz w:val="24"/>
          <w:szCs w:val="24"/>
        </w:rPr>
        <w:t>In accordance with Article 17</w:t>
      </w:r>
      <w:r w:rsidR="00F430FE" w:rsidRPr="00EB6D2B">
        <w:rPr>
          <w:sz w:val="24"/>
          <w:szCs w:val="24"/>
        </w:rPr>
        <w:t xml:space="preserve"> of the ITB </w:t>
      </w:r>
      <w:r w:rsidR="006620F5" w:rsidRPr="00EB6D2B">
        <w:rPr>
          <w:sz w:val="24"/>
          <w:szCs w:val="24"/>
        </w:rPr>
        <w:t>Documents the</w:t>
      </w:r>
      <w:r w:rsidR="009A4320" w:rsidRPr="00EB6D2B">
        <w:rPr>
          <w:sz w:val="24"/>
          <w:szCs w:val="24"/>
        </w:rPr>
        <w:t xml:space="preserve"> OSCE would like to provide the following clarification</w:t>
      </w:r>
      <w:r w:rsidR="00ED50F3">
        <w:rPr>
          <w:sz w:val="24"/>
          <w:szCs w:val="24"/>
        </w:rPr>
        <w:t>/confirmation</w:t>
      </w:r>
      <w:r w:rsidR="008F7C8B" w:rsidRPr="00EB6D2B">
        <w:rPr>
          <w:sz w:val="24"/>
          <w:szCs w:val="24"/>
        </w:rPr>
        <w:t xml:space="preserve">: </w:t>
      </w:r>
    </w:p>
    <w:p w:rsidR="00FA67D9" w:rsidRDefault="00A078F2" w:rsidP="00A078F2">
      <w:pPr>
        <w:tabs>
          <w:tab w:val="left" w:pos="65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30BAD" w:rsidRDefault="00330BAD" w:rsidP="009A4320">
      <w:pPr>
        <w:jc w:val="both"/>
        <w:rPr>
          <w:sz w:val="24"/>
          <w:szCs w:val="24"/>
        </w:rPr>
      </w:pPr>
    </w:p>
    <w:p w:rsidR="003E3B8A" w:rsidRDefault="003E3B8A" w:rsidP="009A4320">
      <w:pPr>
        <w:jc w:val="both"/>
        <w:rPr>
          <w:sz w:val="24"/>
          <w:szCs w:val="24"/>
        </w:rPr>
      </w:pPr>
    </w:p>
    <w:p w:rsidR="005A5B92" w:rsidRPr="0048078D" w:rsidRDefault="0048078D" w:rsidP="0048078D">
      <w:pPr>
        <w:rPr>
          <w:sz w:val="24"/>
          <w:szCs w:val="24"/>
          <w:u w:val="single"/>
        </w:rPr>
      </w:pPr>
      <w:r w:rsidRPr="0048078D">
        <w:rPr>
          <w:sz w:val="24"/>
          <w:szCs w:val="24"/>
          <w:u w:val="single"/>
        </w:rPr>
        <w:t>Question:</w:t>
      </w:r>
    </w:p>
    <w:p w:rsidR="0048078D" w:rsidRDefault="0048078D" w:rsidP="0048078D">
      <w:pPr>
        <w:rPr>
          <w:sz w:val="24"/>
          <w:szCs w:val="24"/>
        </w:rPr>
      </w:pPr>
    </w:p>
    <w:p w:rsidR="009377F9" w:rsidRDefault="005A1AE4" w:rsidP="0048078D">
      <w:pPr>
        <w:rPr>
          <w:sz w:val="24"/>
          <w:szCs w:val="24"/>
        </w:rPr>
      </w:pPr>
      <w:r>
        <w:rPr>
          <w:sz w:val="24"/>
          <w:szCs w:val="24"/>
        </w:rPr>
        <w:t xml:space="preserve">Reference is made to </w:t>
      </w:r>
      <w:r w:rsidR="009377F9">
        <w:rPr>
          <w:sz w:val="24"/>
          <w:szCs w:val="24"/>
        </w:rPr>
        <w:t xml:space="preserve">the </w:t>
      </w:r>
      <w:r>
        <w:rPr>
          <w:sz w:val="24"/>
          <w:szCs w:val="24"/>
        </w:rPr>
        <w:t>requ</w:t>
      </w:r>
      <w:r w:rsidR="005C395C">
        <w:rPr>
          <w:sz w:val="24"/>
          <w:szCs w:val="24"/>
        </w:rPr>
        <w:t xml:space="preserve">ested </w:t>
      </w:r>
      <w:r>
        <w:rPr>
          <w:sz w:val="24"/>
          <w:szCs w:val="24"/>
        </w:rPr>
        <w:t>c</w:t>
      </w:r>
      <w:r w:rsidR="009E52FD">
        <w:rPr>
          <w:sz w:val="24"/>
          <w:szCs w:val="24"/>
        </w:rPr>
        <w:t>ertification of training provided by the Austrian Certification Autho</w:t>
      </w:r>
      <w:r>
        <w:rPr>
          <w:sz w:val="24"/>
          <w:szCs w:val="24"/>
        </w:rPr>
        <w:t xml:space="preserve">rity for Security Systems (ÖZS). </w:t>
      </w:r>
      <w:r w:rsidR="00797BD6">
        <w:rPr>
          <w:sz w:val="24"/>
          <w:szCs w:val="24"/>
        </w:rPr>
        <w:t xml:space="preserve">Would similar certificates provided by external trainers like Austrian Police Authorities be </w:t>
      </w:r>
      <w:r w:rsidR="00F06547">
        <w:rPr>
          <w:sz w:val="24"/>
          <w:szCs w:val="24"/>
        </w:rPr>
        <w:t xml:space="preserve">also </w:t>
      </w:r>
      <w:r w:rsidR="0022132F">
        <w:rPr>
          <w:sz w:val="24"/>
          <w:szCs w:val="24"/>
        </w:rPr>
        <w:t xml:space="preserve">acceptable. </w:t>
      </w:r>
    </w:p>
    <w:p w:rsidR="009377F9" w:rsidRDefault="009377F9" w:rsidP="0048078D">
      <w:pPr>
        <w:rPr>
          <w:sz w:val="24"/>
          <w:szCs w:val="24"/>
          <w:u w:val="single"/>
        </w:rPr>
      </w:pPr>
    </w:p>
    <w:p w:rsidR="00E97988" w:rsidRPr="009377F9" w:rsidRDefault="00E97988" w:rsidP="0048078D">
      <w:pPr>
        <w:rPr>
          <w:sz w:val="24"/>
          <w:szCs w:val="24"/>
          <w:u w:val="single"/>
        </w:rPr>
      </w:pPr>
    </w:p>
    <w:p w:rsidR="009377F9" w:rsidRDefault="009377F9" w:rsidP="0048078D">
      <w:pPr>
        <w:rPr>
          <w:sz w:val="24"/>
          <w:szCs w:val="24"/>
          <w:u w:val="single"/>
        </w:rPr>
      </w:pPr>
      <w:r w:rsidRPr="009377F9">
        <w:rPr>
          <w:sz w:val="24"/>
          <w:szCs w:val="24"/>
          <w:u w:val="single"/>
        </w:rPr>
        <w:t>Answer:</w:t>
      </w:r>
    </w:p>
    <w:p w:rsidR="009377F9" w:rsidRDefault="009377F9" w:rsidP="0048078D">
      <w:pPr>
        <w:rPr>
          <w:sz w:val="24"/>
          <w:szCs w:val="24"/>
          <w:u w:val="single"/>
        </w:rPr>
      </w:pPr>
    </w:p>
    <w:p w:rsidR="009377F9" w:rsidRPr="00D62393" w:rsidRDefault="00D62393" w:rsidP="0048078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We confirm that </w:t>
      </w:r>
      <w:r w:rsidRPr="001D3593">
        <w:rPr>
          <w:b/>
          <w:i/>
          <w:sz w:val="24"/>
          <w:szCs w:val="24"/>
        </w:rPr>
        <w:t>“</w:t>
      </w:r>
      <w:r w:rsidRPr="001D3593">
        <w:rPr>
          <w:b/>
          <w:i/>
          <w:sz w:val="24"/>
          <w:szCs w:val="24"/>
          <w:lang w:val="en-GB"/>
        </w:rPr>
        <w:t xml:space="preserve">ÖZS training certification or </w:t>
      </w:r>
      <w:r w:rsidR="00FB704E">
        <w:rPr>
          <w:b/>
          <w:i/>
          <w:sz w:val="24"/>
          <w:szCs w:val="24"/>
          <w:lang w:val="en-GB"/>
        </w:rPr>
        <w:t xml:space="preserve">equivalent </w:t>
      </w:r>
      <w:r w:rsidRPr="001D3593">
        <w:rPr>
          <w:b/>
          <w:i/>
          <w:sz w:val="24"/>
          <w:szCs w:val="24"/>
          <w:lang w:val="en-GB"/>
        </w:rPr>
        <w:t>certificate</w:t>
      </w:r>
      <w:r w:rsidR="006540D3">
        <w:rPr>
          <w:b/>
          <w:i/>
          <w:sz w:val="24"/>
          <w:szCs w:val="24"/>
          <w:lang w:val="en-GB"/>
        </w:rPr>
        <w:t>s</w:t>
      </w:r>
      <w:r w:rsidRPr="001D3593">
        <w:rPr>
          <w:b/>
          <w:i/>
          <w:sz w:val="24"/>
          <w:szCs w:val="24"/>
          <w:lang w:val="en-GB"/>
        </w:rPr>
        <w:t>”</w:t>
      </w:r>
      <w:r>
        <w:rPr>
          <w:sz w:val="24"/>
          <w:szCs w:val="24"/>
          <w:lang w:val="en-GB"/>
        </w:rPr>
        <w:t xml:space="preserve"> are acceptable. </w:t>
      </w:r>
      <w:r w:rsidRPr="00D62393">
        <w:rPr>
          <w:sz w:val="24"/>
          <w:szCs w:val="24"/>
          <w:lang w:val="en-GB"/>
        </w:rPr>
        <w:t xml:space="preserve"> </w:t>
      </w:r>
    </w:p>
    <w:p w:rsidR="009377F9" w:rsidRDefault="009377F9" w:rsidP="0048078D">
      <w:pPr>
        <w:rPr>
          <w:sz w:val="24"/>
          <w:szCs w:val="24"/>
        </w:rPr>
      </w:pPr>
    </w:p>
    <w:p w:rsidR="0048078D" w:rsidRPr="005A1AE4" w:rsidRDefault="00797BD6" w:rsidP="0048078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</w:p>
    <w:bookmarkEnd w:id="1"/>
    <w:sectPr w:rsidR="0048078D" w:rsidRPr="005A1AE4" w:rsidSect="009738F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161"/>
    <w:multiLevelType w:val="hybridMultilevel"/>
    <w:tmpl w:val="0982FF6A"/>
    <w:lvl w:ilvl="0" w:tplc="18DE5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369F"/>
    <w:multiLevelType w:val="hybridMultilevel"/>
    <w:tmpl w:val="5CC6A7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B35EF"/>
    <w:multiLevelType w:val="hybridMultilevel"/>
    <w:tmpl w:val="7A00C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F3FE4"/>
    <w:multiLevelType w:val="hybridMultilevel"/>
    <w:tmpl w:val="EB20AF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B2B90"/>
    <w:multiLevelType w:val="hybridMultilevel"/>
    <w:tmpl w:val="1EC60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42D01"/>
    <w:multiLevelType w:val="hybridMultilevel"/>
    <w:tmpl w:val="664E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20"/>
    <w:rsid w:val="00004E50"/>
    <w:rsid w:val="000241C6"/>
    <w:rsid w:val="000347FE"/>
    <w:rsid w:val="00094C13"/>
    <w:rsid w:val="00113421"/>
    <w:rsid w:val="0013006B"/>
    <w:rsid w:val="001660E6"/>
    <w:rsid w:val="001977F3"/>
    <w:rsid w:val="001A27CF"/>
    <w:rsid w:val="001C1D7D"/>
    <w:rsid w:val="001D3593"/>
    <w:rsid w:val="0022132F"/>
    <w:rsid w:val="00255591"/>
    <w:rsid w:val="00255D96"/>
    <w:rsid w:val="00267F82"/>
    <w:rsid w:val="00271BA4"/>
    <w:rsid w:val="002B1861"/>
    <w:rsid w:val="002B3A16"/>
    <w:rsid w:val="002D1380"/>
    <w:rsid w:val="002D1889"/>
    <w:rsid w:val="002D1996"/>
    <w:rsid w:val="002D4578"/>
    <w:rsid w:val="002E5AAD"/>
    <w:rsid w:val="003260EC"/>
    <w:rsid w:val="003302CB"/>
    <w:rsid w:val="00330BAD"/>
    <w:rsid w:val="00337C43"/>
    <w:rsid w:val="0036612B"/>
    <w:rsid w:val="00371BBD"/>
    <w:rsid w:val="0037723F"/>
    <w:rsid w:val="0039007E"/>
    <w:rsid w:val="003D4AD3"/>
    <w:rsid w:val="003E3B8A"/>
    <w:rsid w:val="003F2548"/>
    <w:rsid w:val="00407F7F"/>
    <w:rsid w:val="0048078D"/>
    <w:rsid w:val="004D6F58"/>
    <w:rsid w:val="004E4CF1"/>
    <w:rsid w:val="004F4CF8"/>
    <w:rsid w:val="00504AAD"/>
    <w:rsid w:val="00505B42"/>
    <w:rsid w:val="00521B2D"/>
    <w:rsid w:val="00571DE3"/>
    <w:rsid w:val="005A1AE4"/>
    <w:rsid w:val="005A5B92"/>
    <w:rsid w:val="005C395C"/>
    <w:rsid w:val="00604A0A"/>
    <w:rsid w:val="00631CD7"/>
    <w:rsid w:val="00632168"/>
    <w:rsid w:val="006540D3"/>
    <w:rsid w:val="006620F5"/>
    <w:rsid w:val="006B0F6A"/>
    <w:rsid w:val="00714C41"/>
    <w:rsid w:val="007676B3"/>
    <w:rsid w:val="00771685"/>
    <w:rsid w:val="00773F68"/>
    <w:rsid w:val="00780010"/>
    <w:rsid w:val="00787A3F"/>
    <w:rsid w:val="00793213"/>
    <w:rsid w:val="00797BD6"/>
    <w:rsid w:val="007C41AA"/>
    <w:rsid w:val="007F067D"/>
    <w:rsid w:val="00806D32"/>
    <w:rsid w:val="00816EFC"/>
    <w:rsid w:val="008256A1"/>
    <w:rsid w:val="0082612D"/>
    <w:rsid w:val="00833978"/>
    <w:rsid w:val="00834C2D"/>
    <w:rsid w:val="00843525"/>
    <w:rsid w:val="00855DF1"/>
    <w:rsid w:val="0085723B"/>
    <w:rsid w:val="00873A54"/>
    <w:rsid w:val="00895E02"/>
    <w:rsid w:val="008A0DED"/>
    <w:rsid w:val="008D53B0"/>
    <w:rsid w:val="008F7C8B"/>
    <w:rsid w:val="00905848"/>
    <w:rsid w:val="009377F9"/>
    <w:rsid w:val="0094347C"/>
    <w:rsid w:val="00947754"/>
    <w:rsid w:val="009565E6"/>
    <w:rsid w:val="009738FF"/>
    <w:rsid w:val="0097464B"/>
    <w:rsid w:val="009947D4"/>
    <w:rsid w:val="009A4320"/>
    <w:rsid w:val="009E41E5"/>
    <w:rsid w:val="009E52FD"/>
    <w:rsid w:val="009F0EAF"/>
    <w:rsid w:val="009F77DB"/>
    <w:rsid w:val="00A078F2"/>
    <w:rsid w:val="00A60237"/>
    <w:rsid w:val="00A75936"/>
    <w:rsid w:val="00A95409"/>
    <w:rsid w:val="00AC687D"/>
    <w:rsid w:val="00AD4CB2"/>
    <w:rsid w:val="00B0558B"/>
    <w:rsid w:val="00B2211B"/>
    <w:rsid w:val="00B72843"/>
    <w:rsid w:val="00BA73EA"/>
    <w:rsid w:val="00BE10C4"/>
    <w:rsid w:val="00BE3C93"/>
    <w:rsid w:val="00BE6D7F"/>
    <w:rsid w:val="00BF202C"/>
    <w:rsid w:val="00BF7289"/>
    <w:rsid w:val="00C06C51"/>
    <w:rsid w:val="00C06ECF"/>
    <w:rsid w:val="00C13751"/>
    <w:rsid w:val="00C34DB8"/>
    <w:rsid w:val="00C40F81"/>
    <w:rsid w:val="00C61D46"/>
    <w:rsid w:val="00C645B7"/>
    <w:rsid w:val="00C7495E"/>
    <w:rsid w:val="00C962FD"/>
    <w:rsid w:val="00CD5F76"/>
    <w:rsid w:val="00CE1FC9"/>
    <w:rsid w:val="00CF4223"/>
    <w:rsid w:val="00CF6961"/>
    <w:rsid w:val="00D13EF9"/>
    <w:rsid w:val="00D370DB"/>
    <w:rsid w:val="00D62393"/>
    <w:rsid w:val="00D66875"/>
    <w:rsid w:val="00D87916"/>
    <w:rsid w:val="00DE26A4"/>
    <w:rsid w:val="00DE3F5D"/>
    <w:rsid w:val="00DE62FD"/>
    <w:rsid w:val="00E55561"/>
    <w:rsid w:val="00E97988"/>
    <w:rsid w:val="00EB6D2B"/>
    <w:rsid w:val="00EB7E90"/>
    <w:rsid w:val="00ED23FE"/>
    <w:rsid w:val="00ED50F3"/>
    <w:rsid w:val="00EF3C00"/>
    <w:rsid w:val="00F05CA1"/>
    <w:rsid w:val="00F06547"/>
    <w:rsid w:val="00F430FE"/>
    <w:rsid w:val="00FA67D9"/>
    <w:rsid w:val="00FB704E"/>
    <w:rsid w:val="00FD012C"/>
    <w:rsid w:val="00FD27EF"/>
    <w:rsid w:val="00FF65A2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A432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320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20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B1861"/>
    <w:pPr>
      <w:ind w:left="720"/>
    </w:pPr>
    <w:rPr>
      <w:rFonts w:ascii="Calibri" w:eastAsiaTheme="minorHAnsi" w:hAnsi="Calibri"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A432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320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20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B1861"/>
    <w:pPr>
      <w:ind w:left="720"/>
    </w:pPr>
    <w:rPr>
      <w:rFonts w:ascii="Calibri" w:eastAsiaTheme="minorHAns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Gerhild Kernberger</dc:creator>
  <cp:lastModifiedBy>Mirjana Janic</cp:lastModifiedBy>
  <cp:revision>2</cp:revision>
  <cp:lastPrinted>2015-04-30T11:06:00Z</cp:lastPrinted>
  <dcterms:created xsi:type="dcterms:W3CDTF">2015-04-30T14:15:00Z</dcterms:created>
  <dcterms:modified xsi:type="dcterms:W3CDTF">2015-04-30T14:15:00Z</dcterms:modified>
</cp:coreProperties>
</file>