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C8AFB" w14:textId="77777777" w:rsidR="002C3E10" w:rsidRPr="002C3E10" w:rsidRDefault="002C3E10" w:rsidP="002C3E10">
      <w:pPr>
        <w:spacing w:after="80"/>
        <w:jc w:val="center"/>
        <w:rPr>
          <w:rFonts w:ascii="Arial" w:hAnsi="Arial" w:cs="Arial"/>
          <w:b/>
          <w:i/>
        </w:rPr>
      </w:pPr>
      <w:r w:rsidRPr="002C3E10">
        <w:rPr>
          <w:rFonts w:ascii="Arial" w:hAnsi="Arial" w:cs="Arial"/>
          <w:b/>
          <w:i/>
        </w:rPr>
        <w:t>Technical Compliance Form</w:t>
      </w:r>
    </w:p>
    <w:p w14:paraId="1B4C6852" w14:textId="77777777" w:rsidR="002C3E10" w:rsidRDefault="002C3E10" w:rsidP="002C3E10">
      <w:pPr>
        <w:spacing w:after="80"/>
        <w:rPr>
          <w:rFonts w:ascii="Arial" w:hAnsi="Arial" w:cs="Arial"/>
        </w:rPr>
      </w:pPr>
    </w:p>
    <w:p w14:paraId="5D4AE0E9" w14:textId="77777777" w:rsidR="002C3E10" w:rsidRPr="008310C5" w:rsidRDefault="002C3E10" w:rsidP="002C3E10">
      <w:pPr>
        <w:spacing w:after="80"/>
        <w:rPr>
          <w:rFonts w:ascii="Arial" w:hAnsi="Arial" w:cs="Arial"/>
        </w:rPr>
      </w:pPr>
      <w:r w:rsidRPr="008310C5">
        <w:rPr>
          <w:rFonts w:ascii="Arial" w:hAnsi="Arial" w:cs="Arial"/>
        </w:rPr>
        <w:t>Bidders are requested to demonstrate compliance with the following requirements and add any further information in support of their Bid. Please refer to the relevant section of the Terms of Reference (ToR) for further explanation of the requirements. The information from the below offered tables will form an integral part of the technical evaluation process. Bidders should avoid simply writing “comply” without providing further information or evidence to support the claim, as this will not generally reflect well in the evaluation. Reference can be made to annexes or other material in the Bid.</w:t>
      </w:r>
    </w:p>
    <w:p w14:paraId="1CA343A8" w14:textId="77777777" w:rsidR="002C3E10" w:rsidRPr="00A94B5F" w:rsidRDefault="002C3E10" w:rsidP="002C3E10">
      <w:pPr>
        <w:spacing w:after="80"/>
        <w:rPr>
          <w:rFonts w:ascii="Arial" w:hAnsi="Arial" w:cs="Arial"/>
          <w:b/>
        </w:rPr>
      </w:pPr>
    </w:p>
    <w:p w14:paraId="3E6744EB" w14:textId="77777777" w:rsidR="002C3E10" w:rsidRDefault="002C3E10" w:rsidP="002C3E10">
      <w:pPr>
        <w:spacing w:after="80"/>
        <w:rPr>
          <w:rFonts w:ascii="Arial" w:hAnsi="Arial" w:cs="Arial"/>
          <w:b/>
        </w:rPr>
      </w:pPr>
      <w:r w:rsidRPr="00A94B5F">
        <w:rPr>
          <w:rFonts w:ascii="Arial" w:hAnsi="Arial" w:cs="Arial"/>
          <w:b/>
        </w:rPr>
        <w:t xml:space="preserve">Table no. </w:t>
      </w:r>
      <w:r>
        <w:rPr>
          <w:rFonts w:ascii="Arial" w:hAnsi="Arial" w:cs="Arial"/>
          <w:b/>
        </w:rPr>
        <w:t>1</w:t>
      </w:r>
      <w:r w:rsidRPr="00A94B5F">
        <w:rPr>
          <w:rFonts w:ascii="Arial" w:hAnsi="Arial" w:cs="Arial"/>
          <w:b/>
        </w:rPr>
        <w:t xml:space="preserve"> – Mandatory Requirements</w:t>
      </w:r>
      <w:r>
        <w:rPr>
          <w:rFonts w:ascii="Arial" w:hAnsi="Arial" w:cs="Arial"/>
          <w:b/>
        </w:rPr>
        <w:t xml:space="preserve"> (Pass/Fail Criteria)</w:t>
      </w:r>
    </w:p>
    <w:p w14:paraId="1ACBD0C0" w14:textId="77777777" w:rsidR="002C3E10" w:rsidRDefault="002C3E10" w:rsidP="002C3E10">
      <w:pPr>
        <w:spacing w:after="80"/>
        <w:rPr>
          <w:rFonts w:ascii="Arial" w:hAnsi="Arial" w:cs="Arial"/>
          <w:b/>
        </w:rPr>
      </w:pPr>
    </w:p>
    <w:tbl>
      <w:tblPr>
        <w:tblStyle w:val="TableGrid"/>
        <w:tblW w:w="5000" w:type="pct"/>
        <w:jc w:val="center"/>
        <w:tblLook w:val="04A0" w:firstRow="1" w:lastRow="0" w:firstColumn="1" w:lastColumn="0" w:noHBand="0" w:noVBand="1"/>
      </w:tblPr>
      <w:tblGrid>
        <w:gridCol w:w="587"/>
        <w:gridCol w:w="3612"/>
        <w:gridCol w:w="856"/>
        <w:gridCol w:w="865"/>
        <w:gridCol w:w="3322"/>
      </w:tblGrid>
      <w:tr w:rsidR="002C3E10" w:rsidRPr="00DF32B6" w14:paraId="3AC0B142" w14:textId="77777777" w:rsidTr="00896C4D">
        <w:trPr>
          <w:cantSplit/>
          <w:trHeight w:val="929"/>
          <w:tblHeader/>
          <w:jc w:val="center"/>
        </w:trPr>
        <w:tc>
          <w:tcPr>
            <w:tcW w:w="587" w:type="dxa"/>
            <w:vMerge w:val="restart"/>
            <w:shd w:val="clear" w:color="auto" w:fill="8DB3E2" w:themeFill="text2" w:themeFillTint="66"/>
            <w:vAlign w:val="center"/>
          </w:tcPr>
          <w:p w14:paraId="18142660" w14:textId="77777777" w:rsidR="002C3E10" w:rsidRPr="00DF32B6" w:rsidRDefault="002C3E10" w:rsidP="00896C4D">
            <w:pPr>
              <w:pStyle w:val="ListParagraph"/>
              <w:spacing w:after="80"/>
              <w:ind w:left="0"/>
              <w:contextualSpacing w:val="0"/>
              <w:jc w:val="center"/>
              <w:rPr>
                <w:rFonts w:ascii="Arial" w:hAnsi="Arial" w:cs="Arial"/>
                <w:b/>
              </w:rPr>
            </w:pPr>
            <w:r w:rsidRPr="00DF32B6">
              <w:rPr>
                <w:rFonts w:ascii="Arial" w:hAnsi="Arial" w:cs="Arial"/>
                <w:b/>
              </w:rPr>
              <w:t>No.</w:t>
            </w:r>
          </w:p>
        </w:tc>
        <w:tc>
          <w:tcPr>
            <w:tcW w:w="3612" w:type="dxa"/>
            <w:vMerge w:val="restart"/>
            <w:shd w:val="clear" w:color="auto" w:fill="8DB3E2" w:themeFill="text2" w:themeFillTint="66"/>
            <w:vAlign w:val="center"/>
          </w:tcPr>
          <w:p w14:paraId="5810F56F" w14:textId="77777777" w:rsidR="002C3E10" w:rsidRPr="00DF32B6" w:rsidRDefault="002C3E10" w:rsidP="00896C4D">
            <w:pPr>
              <w:pStyle w:val="ListParagraph"/>
              <w:spacing w:after="80"/>
              <w:ind w:left="0"/>
              <w:contextualSpacing w:val="0"/>
              <w:jc w:val="center"/>
              <w:rPr>
                <w:rFonts w:ascii="Arial" w:hAnsi="Arial" w:cs="Arial"/>
                <w:b/>
              </w:rPr>
            </w:pPr>
            <w:r w:rsidRPr="00DF32B6">
              <w:rPr>
                <w:rFonts w:ascii="Arial" w:hAnsi="Arial" w:cs="Arial"/>
                <w:b/>
              </w:rPr>
              <w:t>Mandatory Requirement</w:t>
            </w:r>
          </w:p>
        </w:tc>
        <w:tc>
          <w:tcPr>
            <w:tcW w:w="1721" w:type="dxa"/>
            <w:gridSpan w:val="2"/>
            <w:shd w:val="clear" w:color="auto" w:fill="8DB3E2" w:themeFill="text2" w:themeFillTint="66"/>
            <w:vAlign w:val="center"/>
          </w:tcPr>
          <w:p w14:paraId="1DA484E2" w14:textId="77777777" w:rsidR="002C3E10" w:rsidRDefault="002C3E10" w:rsidP="00896C4D">
            <w:pPr>
              <w:pStyle w:val="ListParagraph"/>
              <w:spacing w:after="80" w:line="240" w:lineRule="atLeast"/>
              <w:ind w:left="0"/>
              <w:jc w:val="center"/>
              <w:rPr>
                <w:rFonts w:ascii="Arial" w:hAnsi="Arial" w:cs="Arial"/>
                <w:b/>
              </w:rPr>
            </w:pPr>
            <w:r w:rsidRPr="00280794">
              <w:rPr>
                <w:rFonts w:ascii="Arial" w:hAnsi="Arial" w:cs="Arial"/>
                <w:b/>
              </w:rPr>
              <w:t>Bidder’s Response</w:t>
            </w:r>
          </w:p>
          <w:p w14:paraId="4B8A989C" w14:textId="77777777" w:rsidR="00AD3592" w:rsidRPr="00280794" w:rsidRDefault="00AD3592" w:rsidP="00896C4D">
            <w:pPr>
              <w:pStyle w:val="ListParagraph"/>
              <w:spacing w:after="80" w:line="240" w:lineRule="atLeast"/>
              <w:ind w:left="0"/>
              <w:jc w:val="center"/>
              <w:rPr>
                <w:rFonts w:ascii="Arial" w:hAnsi="Arial" w:cs="Arial"/>
                <w:b/>
              </w:rPr>
            </w:pPr>
          </w:p>
          <w:p w14:paraId="1F0D6F97" w14:textId="77777777" w:rsidR="002C3E10" w:rsidRDefault="002C3E10" w:rsidP="00896C4D">
            <w:pPr>
              <w:pStyle w:val="ListParagraph"/>
              <w:spacing w:after="80"/>
              <w:ind w:left="0"/>
              <w:jc w:val="center"/>
              <w:rPr>
                <w:rFonts w:ascii="Arial" w:hAnsi="Arial" w:cs="Arial"/>
                <w:i/>
              </w:rPr>
            </w:pPr>
            <w:r w:rsidRPr="00280794">
              <w:rPr>
                <w:rFonts w:ascii="Arial" w:hAnsi="Arial" w:cs="Arial"/>
                <w:i/>
              </w:rPr>
              <w:t>Please tick</w:t>
            </w:r>
            <w:r>
              <w:rPr>
                <w:rFonts w:ascii="Arial" w:hAnsi="Arial" w:cs="Arial"/>
                <w:i/>
              </w:rPr>
              <w:t xml:space="preserve"> </w:t>
            </w:r>
            <w:r w:rsidRPr="00280794">
              <w:rPr>
                <w:rFonts w:ascii="Arial" w:hAnsi="Arial" w:cs="Arial"/>
                <w:i/>
              </w:rPr>
              <w:t>applicable</w:t>
            </w:r>
          </w:p>
          <w:p w14:paraId="617EC24E" w14:textId="77777777" w:rsidR="00AD3592" w:rsidRPr="00DF32B6" w:rsidRDefault="00AD3592" w:rsidP="00896C4D">
            <w:pPr>
              <w:pStyle w:val="ListParagraph"/>
              <w:spacing w:after="80"/>
              <w:ind w:left="0"/>
              <w:jc w:val="center"/>
              <w:rPr>
                <w:rFonts w:ascii="Arial" w:hAnsi="Arial" w:cs="Arial"/>
                <w:b/>
              </w:rPr>
            </w:pPr>
          </w:p>
        </w:tc>
        <w:tc>
          <w:tcPr>
            <w:tcW w:w="3322" w:type="dxa"/>
            <w:vMerge w:val="restart"/>
            <w:shd w:val="clear" w:color="auto" w:fill="8DB3E2" w:themeFill="text2" w:themeFillTint="66"/>
            <w:vAlign w:val="center"/>
          </w:tcPr>
          <w:p w14:paraId="56F10AFE" w14:textId="77777777" w:rsidR="002C3E10" w:rsidRPr="00DF32B6" w:rsidRDefault="002C3E10" w:rsidP="00896C4D">
            <w:pPr>
              <w:pStyle w:val="ListParagraph"/>
              <w:spacing w:after="80"/>
              <w:ind w:left="0"/>
              <w:jc w:val="center"/>
              <w:rPr>
                <w:rFonts w:ascii="Arial" w:hAnsi="Arial" w:cs="Arial"/>
                <w:b/>
              </w:rPr>
            </w:pPr>
            <w:r w:rsidRPr="00DF32B6">
              <w:rPr>
                <w:rFonts w:ascii="Arial" w:hAnsi="Arial" w:cs="Arial"/>
                <w:b/>
              </w:rPr>
              <w:t>Bidder’s</w:t>
            </w:r>
          </w:p>
          <w:p w14:paraId="783F983F" w14:textId="77777777" w:rsidR="002C3E10" w:rsidRPr="00DF32B6" w:rsidRDefault="002C3E10" w:rsidP="00896C4D">
            <w:pPr>
              <w:pStyle w:val="ListParagraph"/>
              <w:spacing w:after="80"/>
              <w:ind w:left="0"/>
              <w:jc w:val="center"/>
              <w:rPr>
                <w:rFonts w:ascii="Arial" w:hAnsi="Arial" w:cs="Arial"/>
                <w:b/>
              </w:rPr>
            </w:pPr>
            <w:r w:rsidRPr="00DF32B6">
              <w:rPr>
                <w:rFonts w:ascii="Arial" w:hAnsi="Arial" w:cs="Arial"/>
                <w:b/>
              </w:rPr>
              <w:t>Clarification</w:t>
            </w:r>
          </w:p>
        </w:tc>
      </w:tr>
      <w:tr w:rsidR="002C3E10" w:rsidRPr="00DF32B6" w14:paraId="06CF0C55" w14:textId="77777777" w:rsidTr="00AD3592">
        <w:trPr>
          <w:cantSplit/>
          <w:trHeight w:val="714"/>
          <w:tblHeader/>
          <w:jc w:val="center"/>
        </w:trPr>
        <w:tc>
          <w:tcPr>
            <w:tcW w:w="587" w:type="dxa"/>
            <w:vMerge/>
            <w:shd w:val="clear" w:color="auto" w:fill="C6D9F1" w:themeFill="text2" w:themeFillTint="33"/>
            <w:vAlign w:val="center"/>
          </w:tcPr>
          <w:p w14:paraId="0D5CFAEF" w14:textId="77777777" w:rsidR="002C3E10" w:rsidRPr="00DF32B6" w:rsidRDefault="002C3E10" w:rsidP="00896C4D">
            <w:pPr>
              <w:pStyle w:val="ListParagraph"/>
              <w:spacing w:after="80"/>
              <w:ind w:left="0"/>
              <w:contextualSpacing w:val="0"/>
              <w:jc w:val="center"/>
              <w:rPr>
                <w:rFonts w:ascii="Arial" w:hAnsi="Arial" w:cs="Arial"/>
                <w:b/>
              </w:rPr>
            </w:pPr>
          </w:p>
        </w:tc>
        <w:tc>
          <w:tcPr>
            <w:tcW w:w="3612" w:type="dxa"/>
            <w:vMerge/>
            <w:shd w:val="clear" w:color="auto" w:fill="8DB3E2" w:themeFill="text2" w:themeFillTint="66"/>
            <w:vAlign w:val="center"/>
          </w:tcPr>
          <w:p w14:paraId="43136104" w14:textId="77777777" w:rsidR="002C3E10" w:rsidRPr="00DF32B6" w:rsidRDefault="002C3E10" w:rsidP="00896C4D">
            <w:pPr>
              <w:pStyle w:val="ListParagraph"/>
              <w:spacing w:after="80"/>
              <w:ind w:left="0"/>
              <w:contextualSpacing w:val="0"/>
              <w:jc w:val="center"/>
              <w:rPr>
                <w:rFonts w:ascii="Arial" w:hAnsi="Arial" w:cs="Arial"/>
                <w:b/>
              </w:rPr>
            </w:pPr>
          </w:p>
        </w:tc>
        <w:tc>
          <w:tcPr>
            <w:tcW w:w="856" w:type="dxa"/>
            <w:shd w:val="clear" w:color="auto" w:fill="8DB3E2" w:themeFill="text2" w:themeFillTint="66"/>
            <w:vAlign w:val="center"/>
          </w:tcPr>
          <w:p w14:paraId="597DA726" w14:textId="77777777" w:rsidR="002C3E10" w:rsidRPr="00DF32B6" w:rsidRDefault="002C3E10" w:rsidP="00896C4D">
            <w:pPr>
              <w:pStyle w:val="ListParagraph"/>
              <w:spacing w:after="80"/>
              <w:ind w:left="0"/>
              <w:contextualSpacing w:val="0"/>
              <w:jc w:val="center"/>
              <w:rPr>
                <w:rFonts w:ascii="Arial" w:hAnsi="Arial" w:cs="Arial"/>
                <w:b/>
              </w:rPr>
            </w:pPr>
            <w:r>
              <w:rPr>
                <w:rFonts w:ascii="Arial" w:hAnsi="Arial" w:cs="Arial"/>
                <w:b/>
              </w:rPr>
              <w:t>Yes</w:t>
            </w:r>
          </w:p>
        </w:tc>
        <w:tc>
          <w:tcPr>
            <w:tcW w:w="865" w:type="dxa"/>
            <w:shd w:val="clear" w:color="auto" w:fill="8DB3E2" w:themeFill="text2" w:themeFillTint="66"/>
            <w:vAlign w:val="center"/>
          </w:tcPr>
          <w:p w14:paraId="44824EB2" w14:textId="77777777" w:rsidR="002C3E10" w:rsidRPr="00DF32B6" w:rsidRDefault="002C3E10" w:rsidP="00896C4D">
            <w:pPr>
              <w:pStyle w:val="ListParagraph"/>
              <w:spacing w:after="80"/>
              <w:ind w:left="0"/>
              <w:contextualSpacing w:val="0"/>
              <w:jc w:val="center"/>
              <w:rPr>
                <w:rFonts w:ascii="Arial" w:hAnsi="Arial" w:cs="Arial"/>
                <w:b/>
              </w:rPr>
            </w:pPr>
            <w:r>
              <w:rPr>
                <w:rFonts w:ascii="Arial" w:hAnsi="Arial" w:cs="Arial"/>
                <w:b/>
              </w:rPr>
              <w:t>No</w:t>
            </w:r>
          </w:p>
        </w:tc>
        <w:tc>
          <w:tcPr>
            <w:tcW w:w="3322" w:type="dxa"/>
            <w:vMerge/>
            <w:shd w:val="clear" w:color="auto" w:fill="C6D9F1" w:themeFill="text2" w:themeFillTint="33"/>
            <w:vAlign w:val="center"/>
          </w:tcPr>
          <w:p w14:paraId="5611E019" w14:textId="77777777" w:rsidR="002C3E10" w:rsidRPr="00DF32B6" w:rsidRDefault="002C3E10" w:rsidP="00896C4D">
            <w:pPr>
              <w:pStyle w:val="ListParagraph"/>
              <w:spacing w:after="80"/>
              <w:ind w:left="0"/>
              <w:contextualSpacing w:val="0"/>
              <w:jc w:val="center"/>
              <w:rPr>
                <w:rFonts w:ascii="Arial" w:hAnsi="Arial" w:cs="Arial"/>
                <w:b/>
              </w:rPr>
            </w:pPr>
          </w:p>
        </w:tc>
      </w:tr>
      <w:tr w:rsidR="002C3E10" w:rsidRPr="00DF32B6" w14:paraId="616D5BDA" w14:textId="77777777" w:rsidTr="00AD3592">
        <w:trPr>
          <w:cantSplit/>
          <w:trHeight w:val="507"/>
          <w:jc w:val="center"/>
        </w:trPr>
        <w:tc>
          <w:tcPr>
            <w:tcW w:w="9242" w:type="dxa"/>
            <w:gridSpan w:val="5"/>
            <w:vAlign w:val="center"/>
          </w:tcPr>
          <w:p w14:paraId="5018C5E9" w14:textId="77777777" w:rsidR="002C3E10" w:rsidRPr="00DF32B6" w:rsidRDefault="002C3E10" w:rsidP="00896C4D">
            <w:pPr>
              <w:pStyle w:val="ListParagraph"/>
              <w:spacing w:after="80"/>
              <w:ind w:left="0"/>
              <w:contextualSpacing w:val="0"/>
              <w:jc w:val="center"/>
              <w:rPr>
                <w:rFonts w:ascii="Arial" w:hAnsi="Arial" w:cs="Arial"/>
              </w:rPr>
            </w:pPr>
            <w:r w:rsidRPr="001407DB">
              <w:rPr>
                <w:rFonts w:ascii="Arial" w:hAnsi="Arial" w:cs="Arial"/>
                <w:b/>
                <w:color w:val="000000"/>
              </w:rPr>
              <w:t>Vendor Requirements</w:t>
            </w:r>
          </w:p>
        </w:tc>
      </w:tr>
      <w:tr w:rsidR="002C3E10" w:rsidRPr="00DF32B6" w14:paraId="1C44EE7C" w14:textId="77777777" w:rsidTr="00AD3592">
        <w:trPr>
          <w:cantSplit/>
          <w:trHeight w:val="1455"/>
          <w:jc w:val="center"/>
        </w:trPr>
        <w:tc>
          <w:tcPr>
            <w:tcW w:w="587" w:type="dxa"/>
            <w:vAlign w:val="center"/>
          </w:tcPr>
          <w:p w14:paraId="3B699CBA" w14:textId="77777777" w:rsidR="002C3E10" w:rsidRPr="002C3E10" w:rsidRDefault="002C3E10" w:rsidP="00896C4D">
            <w:pPr>
              <w:pStyle w:val="ListParagraph"/>
              <w:spacing w:after="80"/>
              <w:ind w:left="0"/>
              <w:contextualSpacing w:val="0"/>
              <w:jc w:val="center"/>
              <w:rPr>
                <w:rFonts w:ascii="Arial" w:hAnsi="Arial" w:cs="Arial"/>
              </w:rPr>
            </w:pPr>
            <w:r w:rsidRPr="002C3E10">
              <w:rPr>
                <w:rFonts w:ascii="Arial" w:hAnsi="Arial" w:cs="Arial"/>
              </w:rPr>
              <w:t>1.</w:t>
            </w:r>
          </w:p>
        </w:tc>
        <w:tc>
          <w:tcPr>
            <w:tcW w:w="3612" w:type="dxa"/>
            <w:vAlign w:val="center"/>
          </w:tcPr>
          <w:p w14:paraId="5DAE5FF0" w14:textId="77777777" w:rsidR="002C3E10" w:rsidRPr="002C3E10" w:rsidRDefault="002C3E10" w:rsidP="00896C4D">
            <w:pPr>
              <w:pStyle w:val="ListParagraph"/>
              <w:spacing w:after="80"/>
              <w:ind w:left="0"/>
              <w:contextualSpacing w:val="0"/>
              <w:rPr>
                <w:rFonts w:ascii="Arial" w:hAnsi="Arial" w:cs="Arial"/>
                <w:b/>
                <w:color w:val="000000"/>
              </w:rPr>
            </w:pPr>
            <w:r w:rsidRPr="002C3E10">
              <w:rPr>
                <w:rFonts w:ascii="Arial" w:hAnsi="Arial" w:cs="Arial"/>
              </w:rPr>
              <w:t>Bidder must have at least 5 years of experience in providing Qualys solutions and support</w:t>
            </w:r>
          </w:p>
        </w:tc>
        <w:tc>
          <w:tcPr>
            <w:tcW w:w="856" w:type="dxa"/>
            <w:vAlign w:val="center"/>
          </w:tcPr>
          <w:p w14:paraId="05A36843" w14:textId="77777777" w:rsidR="002C3E10" w:rsidRPr="00DF32B6" w:rsidRDefault="002C3E10" w:rsidP="00896C4D">
            <w:pPr>
              <w:pStyle w:val="ListParagraph"/>
              <w:spacing w:after="80"/>
              <w:ind w:left="0"/>
              <w:contextualSpacing w:val="0"/>
              <w:jc w:val="center"/>
              <w:rPr>
                <w:rFonts w:ascii="Arial" w:eastAsia="MS Gothic" w:hAnsi="Arial" w:cs="Arial"/>
                <w:lang w:val="en-US"/>
              </w:rPr>
            </w:pPr>
          </w:p>
        </w:tc>
        <w:tc>
          <w:tcPr>
            <w:tcW w:w="865" w:type="dxa"/>
            <w:vAlign w:val="center"/>
          </w:tcPr>
          <w:p w14:paraId="68E37F4B" w14:textId="77777777" w:rsidR="002C3E10" w:rsidRPr="00DF32B6" w:rsidRDefault="002C3E10" w:rsidP="00896C4D">
            <w:pPr>
              <w:pStyle w:val="ListParagraph"/>
              <w:spacing w:after="80"/>
              <w:ind w:left="0"/>
              <w:contextualSpacing w:val="0"/>
              <w:jc w:val="center"/>
              <w:rPr>
                <w:rFonts w:ascii="Arial" w:hAnsi="Arial" w:cs="Arial"/>
              </w:rPr>
            </w:pPr>
          </w:p>
        </w:tc>
        <w:tc>
          <w:tcPr>
            <w:tcW w:w="3322" w:type="dxa"/>
            <w:vAlign w:val="center"/>
          </w:tcPr>
          <w:p w14:paraId="7A975FD9" w14:textId="77777777" w:rsidR="002C3E10" w:rsidRPr="00DF32B6" w:rsidRDefault="002C3E10" w:rsidP="00896C4D">
            <w:pPr>
              <w:pStyle w:val="ListParagraph"/>
              <w:spacing w:after="80"/>
              <w:ind w:left="0"/>
              <w:contextualSpacing w:val="0"/>
              <w:jc w:val="center"/>
              <w:rPr>
                <w:rFonts w:ascii="Arial" w:hAnsi="Arial" w:cs="Arial"/>
              </w:rPr>
            </w:pPr>
          </w:p>
        </w:tc>
      </w:tr>
      <w:tr w:rsidR="002C3E10" w:rsidRPr="00DF32B6" w14:paraId="7BEDB244" w14:textId="77777777" w:rsidTr="00AD3592">
        <w:trPr>
          <w:cantSplit/>
          <w:trHeight w:val="1271"/>
          <w:jc w:val="center"/>
        </w:trPr>
        <w:tc>
          <w:tcPr>
            <w:tcW w:w="587" w:type="dxa"/>
            <w:vAlign w:val="center"/>
          </w:tcPr>
          <w:p w14:paraId="1B7DDF32" w14:textId="77777777" w:rsidR="002C3E10" w:rsidRPr="002C3E10" w:rsidRDefault="002C3E10" w:rsidP="00896C4D">
            <w:pPr>
              <w:pStyle w:val="ListParagraph"/>
              <w:spacing w:after="80"/>
              <w:ind w:left="0"/>
              <w:contextualSpacing w:val="0"/>
              <w:jc w:val="center"/>
              <w:rPr>
                <w:rFonts w:ascii="Arial" w:hAnsi="Arial" w:cs="Arial"/>
              </w:rPr>
            </w:pPr>
            <w:r w:rsidRPr="002C3E10">
              <w:rPr>
                <w:rFonts w:ascii="Arial" w:hAnsi="Arial" w:cs="Arial"/>
              </w:rPr>
              <w:t>2.</w:t>
            </w:r>
          </w:p>
        </w:tc>
        <w:tc>
          <w:tcPr>
            <w:tcW w:w="3612" w:type="dxa"/>
            <w:vAlign w:val="center"/>
          </w:tcPr>
          <w:p w14:paraId="46E833F7" w14:textId="77777777" w:rsidR="002C3E10" w:rsidRPr="002C3E10" w:rsidRDefault="002C3E10" w:rsidP="00896C4D">
            <w:pPr>
              <w:pStyle w:val="ListParagraph"/>
              <w:spacing w:after="80"/>
              <w:ind w:left="0"/>
              <w:contextualSpacing w:val="0"/>
              <w:rPr>
                <w:rFonts w:ascii="Arial" w:hAnsi="Arial" w:cs="Arial"/>
                <w:color w:val="000000"/>
              </w:rPr>
            </w:pPr>
            <w:r w:rsidRPr="002C3E10">
              <w:rPr>
                <w:rFonts w:ascii="Arial" w:hAnsi="Arial" w:cs="Arial"/>
              </w:rPr>
              <w:t>Bidder must have ISO27001 or equivalent security certificate</w:t>
            </w:r>
          </w:p>
        </w:tc>
        <w:tc>
          <w:tcPr>
            <w:tcW w:w="856" w:type="dxa"/>
            <w:vAlign w:val="center"/>
          </w:tcPr>
          <w:p w14:paraId="551E6A6A" w14:textId="77777777" w:rsidR="002C3E10" w:rsidRPr="00DF32B6" w:rsidRDefault="002C3E10" w:rsidP="00896C4D">
            <w:pPr>
              <w:pStyle w:val="ListParagraph"/>
              <w:spacing w:after="80"/>
              <w:ind w:left="0"/>
              <w:contextualSpacing w:val="0"/>
              <w:jc w:val="center"/>
              <w:rPr>
                <w:rFonts w:ascii="Arial" w:eastAsia="MS Gothic" w:hAnsi="Arial" w:cs="Arial"/>
                <w:lang w:val="en-US"/>
              </w:rPr>
            </w:pPr>
          </w:p>
        </w:tc>
        <w:tc>
          <w:tcPr>
            <w:tcW w:w="865" w:type="dxa"/>
            <w:vAlign w:val="center"/>
          </w:tcPr>
          <w:p w14:paraId="0AE53CA1" w14:textId="77777777" w:rsidR="002C3E10" w:rsidRPr="00DF32B6" w:rsidRDefault="002C3E10" w:rsidP="00896C4D">
            <w:pPr>
              <w:pStyle w:val="ListParagraph"/>
              <w:spacing w:after="80"/>
              <w:ind w:left="0"/>
              <w:contextualSpacing w:val="0"/>
              <w:jc w:val="center"/>
              <w:rPr>
                <w:rFonts w:ascii="Arial" w:hAnsi="Arial" w:cs="Arial"/>
              </w:rPr>
            </w:pPr>
          </w:p>
        </w:tc>
        <w:tc>
          <w:tcPr>
            <w:tcW w:w="3322" w:type="dxa"/>
            <w:vAlign w:val="center"/>
          </w:tcPr>
          <w:p w14:paraId="175390FB" w14:textId="77777777" w:rsidR="002C3E10" w:rsidRPr="00DF32B6" w:rsidRDefault="002C3E10" w:rsidP="00896C4D">
            <w:pPr>
              <w:pStyle w:val="ListParagraph"/>
              <w:spacing w:after="80"/>
              <w:ind w:left="0"/>
              <w:contextualSpacing w:val="0"/>
              <w:jc w:val="center"/>
              <w:rPr>
                <w:rFonts w:ascii="Arial" w:hAnsi="Arial" w:cs="Arial"/>
              </w:rPr>
            </w:pPr>
          </w:p>
        </w:tc>
      </w:tr>
      <w:tr w:rsidR="002C3E10" w:rsidRPr="00DF32B6" w14:paraId="7F0B446A" w14:textId="77777777" w:rsidTr="00AD3592">
        <w:trPr>
          <w:cantSplit/>
          <w:trHeight w:val="2245"/>
          <w:jc w:val="center"/>
        </w:trPr>
        <w:tc>
          <w:tcPr>
            <w:tcW w:w="587" w:type="dxa"/>
            <w:vAlign w:val="center"/>
          </w:tcPr>
          <w:p w14:paraId="68DCC6AC" w14:textId="77777777" w:rsidR="002C3E10" w:rsidRPr="002C3E10" w:rsidRDefault="002C3E10" w:rsidP="00896C4D">
            <w:pPr>
              <w:pStyle w:val="ListParagraph"/>
              <w:spacing w:after="80"/>
              <w:ind w:left="0"/>
              <w:contextualSpacing w:val="0"/>
              <w:jc w:val="center"/>
              <w:rPr>
                <w:rFonts w:ascii="Arial" w:hAnsi="Arial" w:cs="Arial"/>
              </w:rPr>
            </w:pPr>
            <w:r w:rsidRPr="002C3E10">
              <w:rPr>
                <w:rFonts w:ascii="Arial" w:hAnsi="Arial" w:cs="Arial"/>
              </w:rPr>
              <w:t>3.</w:t>
            </w:r>
          </w:p>
        </w:tc>
        <w:tc>
          <w:tcPr>
            <w:tcW w:w="3612" w:type="dxa"/>
            <w:vAlign w:val="center"/>
          </w:tcPr>
          <w:p w14:paraId="78BEAAF1" w14:textId="77777777" w:rsidR="002C3E10" w:rsidRPr="002C3E10" w:rsidRDefault="002C3E10" w:rsidP="002C3E10">
            <w:pPr>
              <w:pStyle w:val="ListParagraph"/>
              <w:spacing w:after="80"/>
              <w:ind w:left="0"/>
              <w:contextualSpacing w:val="0"/>
              <w:rPr>
                <w:rFonts w:ascii="Arial" w:hAnsi="Arial" w:cs="Arial"/>
                <w:color w:val="000000"/>
              </w:rPr>
            </w:pPr>
            <w:r w:rsidRPr="002C3E10">
              <w:rPr>
                <w:rFonts w:ascii="Arial" w:hAnsi="Arial" w:cs="Arial"/>
              </w:rPr>
              <w:t>Acceptance of the OSCE Non-Disclosure Agreement (sample of the template provided</w:t>
            </w:r>
            <w:r w:rsidRPr="002C3E10">
              <w:rPr>
                <w:rFonts w:ascii="Arial" w:hAnsi="Arial" w:cs="Arial"/>
              </w:rPr>
              <w:t xml:space="preserve">; </w:t>
            </w:r>
            <w:r w:rsidRPr="002C3E10">
              <w:rPr>
                <w:rFonts w:ascii="Arial" w:hAnsi="Arial" w:cs="Arial"/>
              </w:rPr>
              <w:t xml:space="preserve">the </w:t>
            </w:r>
            <w:r w:rsidRPr="002C3E10">
              <w:rPr>
                <w:rFonts w:ascii="Arial" w:hAnsi="Arial" w:cs="Arial"/>
              </w:rPr>
              <w:t xml:space="preserve">successful </w:t>
            </w:r>
            <w:r w:rsidRPr="002C3E10">
              <w:rPr>
                <w:rFonts w:ascii="Arial" w:hAnsi="Arial" w:cs="Arial"/>
              </w:rPr>
              <w:t>Bidder will be requested to sigh it</w:t>
            </w:r>
            <w:r w:rsidR="00AD3592">
              <w:rPr>
                <w:rFonts w:ascii="Arial" w:hAnsi="Arial" w:cs="Arial"/>
              </w:rPr>
              <w:t xml:space="preserve"> at the stage of Contract signature</w:t>
            </w:r>
            <w:r w:rsidRPr="002C3E10">
              <w:rPr>
                <w:rFonts w:ascii="Arial" w:hAnsi="Arial" w:cs="Arial"/>
              </w:rPr>
              <w:t>)</w:t>
            </w:r>
          </w:p>
        </w:tc>
        <w:tc>
          <w:tcPr>
            <w:tcW w:w="856" w:type="dxa"/>
            <w:vAlign w:val="center"/>
          </w:tcPr>
          <w:p w14:paraId="45B0E66C" w14:textId="77777777" w:rsidR="002C3E10" w:rsidRPr="00DF32B6" w:rsidRDefault="002C3E10" w:rsidP="00896C4D">
            <w:pPr>
              <w:pStyle w:val="ListParagraph"/>
              <w:spacing w:after="80"/>
              <w:ind w:left="0"/>
              <w:contextualSpacing w:val="0"/>
              <w:jc w:val="center"/>
              <w:rPr>
                <w:rFonts w:ascii="Arial" w:eastAsia="MS Gothic" w:hAnsi="Arial" w:cs="Arial"/>
                <w:lang w:val="en-US"/>
              </w:rPr>
            </w:pPr>
          </w:p>
        </w:tc>
        <w:tc>
          <w:tcPr>
            <w:tcW w:w="865" w:type="dxa"/>
            <w:vAlign w:val="center"/>
          </w:tcPr>
          <w:p w14:paraId="2E849547" w14:textId="77777777" w:rsidR="002C3E10" w:rsidRPr="00DF32B6" w:rsidRDefault="002C3E10" w:rsidP="00896C4D">
            <w:pPr>
              <w:pStyle w:val="ListParagraph"/>
              <w:spacing w:after="80"/>
              <w:ind w:left="0"/>
              <w:contextualSpacing w:val="0"/>
              <w:jc w:val="center"/>
              <w:rPr>
                <w:rFonts w:ascii="Arial" w:hAnsi="Arial" w:cs="Arial"/>
              </w:rPr>
            </w:pPr>
          </w:p>
        </w:tc>
        <w:tc>
          <w:tcPr>
            <w:tcW w:w="3322" w:type="dxa"/>
            <w:vAlign w:val="center"/>
          </w:tcPr>
          <w:p w14:paraId="2F5F88AE" w14:textId="77777777" w:rsidR="002C3E10" w:rsidRPr="00DF32B6" w:rsidRDefault="002C3E10" w:rsidP="00896C4D">
            <w:pPr>
              <w:pStyle w:val="ListParagraph"/>
              <w:spacing w:after="80"/>
              <w:ind w:left="0"/>
              <w:contextualSpacing w:val="0"/>
              <w:jc w:val="center"/>
              <w:rPr>
                <w:rFonts w:ascii="Arial" w:hAnsi="Arial" w:cs="Arial"/>
              </w:rPr>
            </w:pPr>
          </w:p>
        </w:tc>
      </w:tr>
      <w:tr w:rsidR="002C3E10" w:rsidRPr="00DF32B6" w14:paraId="1C17946E" w14:textId="77777777" w:rsidTr="00AD3592">
        <w:trPr>
          <w:cantSplit/>
          <w:trHeight w:val="2068"/>
          <w:jc w:val="center"/>
        </w:trPr>
        <w:tc>
          <w:tcPr>
            <w:tcW w:w="587" w:type="dxa"/>
            <w:vAlign w:val="center"/>
          </w:tcPr>
          <w:p w14:paraId="6E4C821A" w14:textId="77777777" w:rsidR="002C3E10" w:rsidRPr="002C3E10" w:rsidRDefault="002C3E10" w:rsidP="00896C4D">
            <w:pPr>
              <w:pStyle w:val="ListParagraph"/>
              <w:spacing w:after="80"/>
              <w:ind w:left="0"/>
              <w:contextualSpacing w:val="0"/>
              <w:jc w:val="center"/>
              <w:rPr>
                <w:rFonts w:ascii="Arial" w:hAnsi="Arial" w:cs="Arial"/>
              </w:rPr>
            </w:pPr>
            <w:r w:rsidRPr="002C3E10">
              <w:rPr>
                <w:rFonts w:ascii="Arial" w:hAnsi="Arial" w:cs="Arial"/>
              </w:rPr>
              <w:t>4.</w:t>
            </w:r>
          </w:p>
        </w:tc>
        <w:tc>
          <w:tcPr>
            <w:tcW w:w="3612" w:type="dxa"/>
            <w:vAlign w:val="center"/>
          </w:tcPr>
          <w:p w14:paraId="0828195B" w14:textId="77777777" w:rsidR="002C3E10" w:rsidRPr="002C3E10" w:rsidRDefault="002C3E10" w:rsidP="00896C4D">
            <w:pPr>
              <w:pStyle w:val="ListParagraph"/>
              <w:spacing w:after="80"/>
              <w:ind w:left="0"/>
              <w:contextualSpacing w:val="0"/>
              <w:rPr>
                <w:rFonts w:ascii="Arial" w:hAnsi="Arial" w:cs="Arial"/>
                <w:color w:val="000000"/>
              </w:rPr>
            </w:pPr>
            <w:r w:rsidRPr="002C3E10">
              <w:rPr>
                <w:rFonts w:ascii="Arial" w:hAnsi="Arial" w:cs="Arial"/>
              </w:rPr>
              <w:t>Acceptance of the OSCE Declaration of Impartiality, Confidentiality and Conflict of Interest (sample of the template provided; the successful Bidder will be requested to sigh it</w:t>
            </w:r>
            <w:r w:rsidR="00AD3592">
              <w:rPr>
                <w:rFonts w:ascii="Arial" w:hAnsi="Arial" w:cs="Arial"/>
              </w:rPr>
              <w:t xml:space="preserve"> at the stage of Contract signature</w:t>
            </w:r>
            <w:r w:rsidRPr="002C3E10">
              <w:rPr>
                <w:rFonts w:ascii="Arial" w:hAnsi="Arial" w:cs="Arial"/>
              </w:rPr>
              <w:t>)</w:t>
            </w:r>
          </w:p>
        </w:tc>
        <w:tc>
          <w:tcPr>
            <w:tcW w:w="856" w:type="dxa"/>
            <w:vAlign w:val="center"/>
          </w:tcPr>
          <w:p w14:paraId="05617FEB" w14:textId="77777777" w:rsidR="002C3E10" w:rsidRPr="00DF32B6" w:rsidRDefault="002C3E10" w:rsidP="00896C4D">
            <w:pPr>
              <w:pStyle w:val="ListParagraph"/>
              <w:spacing w:after="80"/>
              <w:ind w:left="0"/>
              <w:contextualSpacing w:val="0"/>
              <w:jc w:val="center"/>
              <w:rPr>
                <w:rFonts w:ascii="Arial" w:eastAsia="MS Gothic" w:hAnsi="Arial" w:cs="Arial"/>
                <w:lang w:val="en-US"/>
              </w:rPr>
            </w:pPr>
          </w:p>
        </w:tc>
        <w:tc>
          <w:tcPr>
            <w:tcW w:w="865" w:type="dxa"/>
            <w:vAlign w:val="center"/>
          </w:tcPr>
          <w:p w14:paraId="08751545" w14:textId="77777777" w:rsidR="002C3E10" w:rsidRPr="00DF32B6" w:rsidRDefault="002C3E10" w:rsidP="00896C4D">
            <w:pPr>
              <w:pStyle w:val="ListParagraph"/>
              <w:spacing w:after="80"/>
              <w:ind w:left="0"/>
              <w:contextualSpacing w:val="0"/>
              <w:jc w:val="center"/>
              <w:rPr>
                <w:rFonts w:ascii="Arial" w:hAnsi="Arial" w:cs="Arial"/>
              </w:rPr>
            </w:pPr>
          </w:p>
        </w:tc>
        <w:tc>
          <w:tcPr>
            <w:tcW w:w="3322" w:type="dxa"/>
            <w:vAlign w:val="center"/>
          </w:tcPr>
          <w:p w14:paraId="0EBDA2B4" w14:textId="77777777" w:rsidR="002C3E10" w:rsidRPr="00DF32B6" w:rsidRDefault="002C3E10" w:rsidP="00896C4D">
            <w:pPr>
              <w:pStyle w:val="ListParagraph"/>
              <w:spacing w:after="80"/>
              <w:ind w:left="0"/>
              <w:contextualSpacing w:val="0"/>
              <w:jc w:val="center"/>
              <w:rPr>
                <w:rFonts w:ascii="Arial" w:hAnsi="Arial" w:cs="Arial"/>
              </w:rPr>
            </w:pPr>
          </w:p>
        </w:tc>
      </w:tr>
      <w:tr w:rsidR="002C3E10" w:rsidRPr="00DF32B6" w14:paraId="304A3564" w14:textId="77777777" w:rsidTr="00AD3592">
        <w:trPr>
          <w:cantSplit/>
          <w:trHeight w:val="540"/>
          <w:jc w:val="center"/>
        </w:trPr>
        <w:tc>
          <w:tcPr>
            <w:tcW w:w="9242" w:type="dxa"/>
            <w:gridSpan w:val="5"/>
            <w:vAlign w:val="center"/>
          </w:tcPr>
          <w:p w14:paraId="4FA60CE9" w14:textId="77777777" w:rsidR="002C3E10" w:rsidRPr="00DF32B6" w:rsidRDefault="002C3E10" w:rsidP="00896C4D">
            <w:pPr>
              <w:pStyle w:val="ListParagraph"/>
              <w:spacing w:after="80"/>
              <w:ind w:left="0"/>
              <w:contextualSpacing w:val="0"/>
              <w:jc w:val="center"/>
              <w:rPr>
                <w:rFonts w:ascii="Arial" w:hAnsi="Arial" w:cs="Arial"/>
              </w:rPr>
            </w:pPr>
            <w:r w:rsidRPr="001407DB">
              <w:rPr>
                <w:rFonts w:ascii="Arial" w:hAnsi="Arial" w:cs="Arial"/>
                <w:b/>
                <w:color w:val="000000"/>
              </w:rPr>
              <w:lastRenderedPageBreak/>
              <w:t>Solution Requirements</w:t>
            </w:r>
          </w:p>
        </w:tc>
      </w:tr>
      <w:tr w:rsidR="002C3E10" w:rsidRPr="00DF32B6" w14:paraId="717E5F72" w14:textId="77777777" w:rsidTr="00896C4D">
        <w:trPr>
          <w:cantSplit/>
          <w:jc w:val="center"/>
        </w:trPr>
        <w:tc>
          <w:tcPr>
            <w:tcW w:w="587" w:type="dxa"/>
            <w:vAlign w:val="center"/>
          </w:tcPr>
          <w:p w14:paraId="29EF02A3" w14:textId="77777777" w:rsidR="002C3E10" w:rsidRPr="00DF32B6" w:rsidRDefault="002C3E10" w:rsidP="00896C4D">
            <w:pPr>
              <w:pStyle w:val="ListParagraph"/>
              <w:spacing w:after="80"/>
              <w:ind w:left="0"/>
              <w:contextualSpacing w:val="0"/>
              <w:jc w:val="center"/>
              <w:rPr>
                <w:rFonts w:ascii="Arial" w:hAnsi="Arial" w:cs="Arial"/>
              </w:rPr>
            </w:pPr>
            <w:r>
              <w:rPr>
                <w:rFonts w:ascii="Arial" w:hAnsi="Arial" w:cs="Arial"/>
              </w:rPr>
              <w:t>5</w:t>
            </w:r>
            <w:r w:rsidRPr="00DF32B6">
              <w:rPr>
                <w:rFonts w:ascii="Arial" w:hAnsi="Arial" w:cs="Arial"/>
              </w:rPr>
              <w:t>.</w:t>
            </w:r>
          </w:p>
        </w:tc>
        <w:tc>
          <w:tcPr>
            <w:tcW w:w="3612" w:type="dxa"/>
            <w:vAlign w:val="bottom"/>
          </w:tcPr>
          <w:p w14:paraId="514501BA" w14:textId="77777777" w:rsidR="002C3E10" w:rsidRPr="00DF32B6" w:rsidRDefault="002C3E10" w:rsidP="00896C4D">
            <w:pPr>
              <w:pStyle w:val="ListParagraph"/>
              <w:spacing w:after="80"/>
              <w:ind w:left="0"/>
              <w:contextualSpacing w:val="0"/>
              <w:rPr>
                <w:rFonts w:ascii="Arial" w:hAnsi="Arial" w:cs="Arial"/>
              </w:rPr>
            </w:pPr>
            <w:r w:rsidRPr="00E455B3">
              <w:rPr>
                <w:rFonts w:ascii="Arial" w:hAnsi="Arial" w:cs="Arial"/>
                <w:color w:val="000000"/>
              </w:rPr>
              <w:t>A cloud-hosted vulnerability assessment and management platform based on Qualys Enterprise version that provides the ability to assess security vulnerabilities for 8</w:t>
            </w:r>
            <w:r>
              <w:rPr>
                <w:rFonts w:ascii="Arial" w:hAnsi="Arial" w:cs="Arial"/>
                <w:color w:val="000000"/>
              </w:rPr>
              <w:t>,</w:t>
            </w:r>
            <w:r w:rsidRPr="00E455B3">
              <w:rPr>
                <w:rFonts w:ascii="Arial" w:hAnsi="Arial" w:cs="Arial"/>
                <w:color w:val="000000"/>
              </w:rPr>
              <w:t>000 internal (including 5</w:t>
            </w:r>
            <w:r>
              <w:rPr>
                <w:rFonts w:ascii="Arial" w:hAnsi="Arial" w:cs="Arial"/>
                <w:color w:val="000000"/>
              </w:rPr>
              <w:t>,</w:t>
            </w:r>
            <w:r w:rsidRPr="00E455B3">
              <w:rPr>
                <w:rFonts w:ascii="Arial" w:hAnsi="Arial" w:cs="Arial"/>
                <w:color w:val="000000"/>
              </w:rPr>
              <w:t>500 with Cloud Agent) and 96 external IPs</w:t>
            </w:r>
          </w:p>
        </w:tc>
        <w:tc>
          <w:tcPr>
            <w:tcW w:w="856" w:type="dxa"/>
            <w:vAlign w:val="center"/>
          </w:tcPr>
          <w:p w14:paraId="5F602698" w14:textId="77777777" w:rsidR="002C3E10" w:rsidRPr="00DF32B6" w:rsidRDefault="002C3E10" w:rsidP="00896C4D">
            <w:pPr>
              <w:pStyle w:val="ListParagraph"/>
              <w:spacing w:after="80"/>
              <w:ind w:left="0"/>
              <w:contextualSpacing w:val="0"/>
              <w:jc w:val="center"/>
              <w:rPr>
                <w:rFonts w:ascii="Arial" w:eastAsia="MS Gothic" w:hAnsi="Arial" w:cs="Arial"/>
                <w:lang w:val="en-US"/>
              </w:rPr>
            </w:pPr>
          </w:p>
        </w:tc>
        <w:tc>
          <w:tcPr>
            <w:tcW w:w="865" w:type="dxa"/>
            <w:vAlign w:val="center"/>
          </w:tcPr>
          <w:p w14:paraId="06B56FE3" w14:textId="77777777" w:rsidR="002C3E10" w:rsidRPr="00DF32B6" w:rsidRDefault="002C3E10" w:rsidP="00896C4D">
            <w:pPr>
              <w:pStyle w:val="ListParagraph"/>
              <w:spacing w:after="80"/>
              <w:ind w:left="0"/>
              <w:contextualSpacing w:val="0"/>
              <w:jc w:val="center"/>
              <w:rPr>
                <w:rFonts w:ascii="Arial" w:hAnsi="Arial" w:cs="Arial"/>
              </w:rPr>
            </w:pPr>
          </w:p>
        </w:tc>
        <w:tc>
          <w:tcPr>
            <w:tcW w:w="3322" w:type="dxa"/>
            <w:vAlign w:val="center"/>
          </w:tcPr>
          <w:p w14:paraId="799202B2" w14:textId="77777777" w:rsidR="002C3E10" w:rsidRPr="00DF32B6" w:rsidRDefault="002C3E10" w:rsidP="00896C4D">
            <w:pPr>
              <w:pStyle w:val="ListParagraph"/>
              <w:spacing w:after="80"/>
              <w:ind w:left="0"/>
              <w:contextualSpacing w:val="0"/>
              <w:jc w:val="center"/>
              <w:rPr>
                <w:rFonts w:ascii="Arial" w:hAnsi="Arial" w:cs="Arial"/>
              </w:rPr>
            </w:pPr>
          </w:p>
        </w:tc>
      </w:tr>
      <w:tr w:rsidR="002C3E10" w:rsidRPr="00DF32B6" w14:paraId="3BAFFC01" w14:textId="77777777" w:rsidTr="00896C4D">
        <w:trPr>
          <w:cantSplit/>
          <w:jc w:val="center"/>
        </w:trPr>
        <w:tc>
          <w:tcPr>
            <w:tcW w:w="587" w:type="dxa"/>
            <w:vAlign w:val="center"/>
          </w:tcPr>
          <w:p w14:paraId="18209120" w14:textId="77777777" w:rsidR="002C3E10" w:rsidRPr="00DF32B6" w:rsidRDefault="002C3E10" w:rsidP="00896C4D">
            <w:pPr>
              <w:pStyle w:val="ListParagraph"/>
              <w:spacing w:after="80"/>
              <w:ind w:left="0"/>
              <w:contextualSpacing w:val="0"/>
              <w:jc w:val="center"/>
              <w:rPr>
                <w:rFonts w:ascii="Arial" w:hAnsi="Arial" w:cs="Arial"/>
              </w:rPr>
            </w:pPr>
            <w:r>
              <w:rPr>
                <w:rFonts w:ascii="Arial" w:hAnsi="Arial" w:cs="Arial"/>
              </w:rPr>
              <w:t>6</w:t>
            </w:r>
            <w:r w:rsidRPr="00DF32B6">
              <w:rPr>
                <w:rFonts w:ascii="Arial" w:hAnsi="Arial" w:cs="Arial"/>
              </w:rPr>
              <w:t>.</w:t>
            </w:r>
          </w:p>
        </w:tc>
        <w:tc>
          <w:tcPr>
            <w:tcW w:w="3612" w:type="dxa"/>
            <w:vAlign w:val="bottom"/>
          </w:tcPr>
          <w:p w14:paraId="346C4414" w14:textId="77777777" w:rsidR="002C3E10" w:rsidRPr="00DF32B6" w:rsidRDefault="002C3E10" w:rsidP="007E2398">
            <w:pPr>
              <w:pStyle w:val="ListParagraph"/>
              <w:spacing w:after="80"/>
              <w:ind w:left="0"/>
              <w:contextualSpacing w:val="0"/>
              <w:rPr>
                <w:rFonts w:ascii="Arial" w:hAnsi="Arial" w:cs="Arial"/>
              </w:rPr>
            </w:pPr>
            <w:r>
              <w:rPr>
                <w:rFonts w:ascii="Arial" w:hAnsi="Arial" w:cs="Arial"/>
              </w:rPr>
              <w:t xml:space="preserve">Virtual scanner appliances on VMWare platform (6 appliances, </w:t>
            </w:r>
            <w:r w:rsidRPr="00B44B3D">
              <w:rPr>
                <w:rFonts w:ascii="Arial" w:hAnsi="Arial" w:cs="Arial"/>
              </w:rPr>
              <w:t>support f</w:t>
            </w:r>
            <w:r>
              <w:rPr>
                <w:rFonts w:ascii="Arial" w:hAnsi="Arial" w:cs="Arial"/>
              </w:rPr>
              <w:t>o</w:t>
            </w:r>
            <w:r w:rsidRPr="00B44B3D">
              <w:rPr>
                <w:rFonts w:ascii="Arial" w:hAnsi="Arial" w:cs="Arial"/>
              </w:rPr>
              <w:t>r vSphere 6.0 – 6.7</w:t>
            </w:r>
            <w:r>
              <w:rPr>
                <w:rFonts w:ascii="Arial" w:hAnsi="Arial" w:cs="Arial"/>
              </w:rPr>
              <w:t xml:space="preserve"> mandatory)</w:t>
            </w:r>
          </w:p>
        </w:tc>
        <w:tc>
          <w:tcPr>
            <w:tcW w:w="856" w:type="dxa"/>
            <w:vAlign w:val="center"/>
          </w:tcPr>
          <w:p w14:paraId="387C89BC" w14:textId="77777777" w:rsidR="002C3E10" w:rsidRPr="00DF32B6" w:rsidRDefault="002C3E10" w:rsidP="00896C4D">
            <w:pPr>
              <w:pStyle w:val="ListParagraph"/>
              <w:spacing w:after="80"/>
              <w:ind w:left="0"/>
              <w:contextualSpacing w:val="0"/>
              <w:jc w:val="center"/>
              <w:rPr>
                <w:rFonts w:ascii="Arial" w:eastAsia="MS Gothic" w:hAnsi="Arial" w:cs="Arial"/>
                <w:lang w:val="en-US"/>
              </w:rPr>
            </w:pPr>
          </w:p>
        </w:tc>
        <w:tc>
          <w:tcPr>
            <w:tcW w:w="865" w:type="dxa"/>
            <w:vAlign w:val="center"/>
          </w:tcPr>
          <w:p w14:paraId="1CBCBC4D" w14:textId="77777777" w:rsidR="002C3E10" w:rsidRPr="00DF32B6" w:rsidRDefault="002C3E10" w:rsidP="00896C4D">
            <w:pPr>
              <w:pStyle w:val="ListParagraph"/>
              <w:spacing w:after="80"/>
              <w:ind w:left="0"/>
              <w:contextualSpacing w:val="0"/>
              <w:jc w:val="center"/>
              <w:rPr>
                <w:rFonts w:ascii="Arial" w:hAnsi="Arial" w:cs="Arial"/>
              </w:rPr>
            </w:pPr>
          </w:p>
        </w:tc>
        <w:tc>
          <w:tcPr>
            <w:tcW w:w="3322" w:type="dxa"/>
            <w:vAlign w:val="center"/>
          </w:tcPr>
          <w:p w14:paraId="0F90A8FF" w14:textId="77777777" w:rsidR="002C3E10" w:rsidRPr="00DF32B6" w:rsidRDefault="002C3E10" w:rsidP="00896C4D">
            <w:pPr>
              <w:pStyle w:val="ListParagraph"/>
              <w:spacing w:after="80"/>
              <w:ind w:left="0"/>
              <w:contextualSpacing w:val="0"/>
              <w:jc w:val="center"/>
              <w:rPr>
                <w:rFonts w:ascii="Arial" w:hAnsi="Arial" w:cs="Arial"/>
              </w:rPr>
            </w:pPr>
          </w:p>
        </w:tc>
      </w:tr>
      <w:tr w:rsidR="002C3E10" w:rsidRPr="00DF32B6" w14:paraId="507D5177" w14:textId="77777777" w:rsidTr="00896C4D">
        <w:trPr>
          <w:cantSplit/>
          <w:jc w:val="center"/>
        </w:trPr>
        <w:tc>
          <w:tcPr>
            <w:tcW w:w="587" w:type="dxa"/>
            <w:vAlign w:val="center"/>
          </w:tcPr>
          <w:p w14:paraId="69638322" w14:textId="77777777" w:rsidR="002C3E10" w:rsidRPr="00DF32B6" w:rsidRDefault="002C3E10" w:rsidP="00896C4D">
            <w:pPr>
              <w:pStyle w:val="ListParagraph"/>
              <w:spacing w:after="80"/>
              <w:ind w:left="0"/>
              <w:contextualSpacing w:val="0"/>
              <w:jc w:val="center"/>
              <w:rPr>
                <w:rFonts w:ascii="Arial" w:hAnsi="Arial" w:cs="Arial"/>
              </w:rPr>
            </w:pPr>
            <w:r>
              <w:rPr>
                <w:rFonts w:ascii="Arial" w:hAnsi="Arial" w:cs="Arial"/>
              </w:rPr>
              <w:t>7</w:t>
            </w:r>
            <w:r w:rsidRPr="00DF32B6">
              <w:rPr>
                <w:rFonts w:ascii="Arial" w:hAnsi="Arial" w:cs="Arial"/>
              </w:rPr>
              <w:t>.</w:t>
            </w:r>
          </w:p>
        </w:tc>
        <w:tc>
          <w:tcPr>
            <w:tcW w:w="3612" w:type="dxa"/>
            <w:vAlign w:val="bottom"/>
          </w:tcPr>
          <w:p w14:paraId="29AAA836" w14:textId="77777777" w:rsidR="002C3E10" w:rsidRPr="00DF32B6" w:rsidRDefault="002C3E10" w:rsidP="007E2398">
            <w:pPr>
              <w:pStyle w:val="ListParagraph"/>
              <w:spacing w:after="80"/>
              <w:ind w:left="0"/>
              <w:contextualSpacing w:val="0"/>
              <w:rPr>
                <w:rFonts w:ascii="Arial" w:hAnsi="Arial" w:cs="Arial"/>
              </w:rPr>
            </w:pPr>
            <w:r w:rsidRPr="001407DB">
              <w:rPr>
                <w:rFonts w:ascii="Arial" w:hAnsi="Arial" w:cs="Arial"/>
                <w:color w:val="000000"/>
              </w:rPr>
              <w:t>Cloud Agents for all endpoints and servers on internal network</w:t>
            </w:r>
            <w:r w:rsidR="007E2398">
              <w:rPr>
                <w:rFonts w:ascii="Arial" w:hAnsi="Arial" w:cs="Arial"/>
                <w:color w:val="000000"/>
              </w:rPr>
              <w:br/>
            </w:r>
            <w:r w:rsidRPr="001407DB">
              <w:rPr>
                <w:rFonts w:ascii="Arial" w:hAnsi="Arial" w:cs="Arial"/>
                <w:color w:val="000000"/>
              </w:rPr>
              <w:t>(at least 5</w:t>
            </w:r>
            <w:r>
              <w:rPr>
                <w:rFonts w:ascii="Arial" w:hAnsi="Arial" w:cs="Arial"/>
                <w:color w:val="000000"/>
              </w:rPr>
              <w:t>,</w:t>
            </w:r>
            <w:r w:rsidRPr="001407DB">
              <w:rPr>
                <w:rFonts w:ascii="Arial" w:hAnsi="Arial" w:cs="Arial"/>
                <w:color w:val="000000"/>
              </w:rPr>
              <w:t>500 hosts)</w:t>
            </w:r>
          </w:p>
        </w:tc>
        <w:tc>
          <w:tcPr>
            <w:tcW w:w="856" w:type="dxa"/>
            <w:vAlign w:val="center"/>
          </w:tcPr>
          <w:p w14:paraId="1303F8EF" w14:textId="77777777" w:rsidR="002C3E10" w:rsidRPr="00DF32B6" w:rsidRDefault="002C3E10" w:rsidP="00896C4D">
            <w:pPr>
              <w:pStyle w:val="ListParagraph"/>
              <w:spacing w:after="80"/>
              <w:ind w:left="0"/>
              <w:contextualSpacing w:val="0"/>
              <w:jc w:val="center"/>
              <w:rPr>
                <w:rFonts w:ascii="Arial" w:eastAsia="MS Gothic" w:hAnsi="Arial" w:cs="Arial"/>
                <w:lang w:val="en-US"/>
              </w:rPr>
            </w:pPr>
          </w:p>
        </w:tc>
        <w:tc>
          <w:tcPr>
            <w:tcW w:w="865" w:type="dxa"/>
            <w:vAlign w:val="center"/>
          </w:tcPr>
          <w:p w14:paraId="1A71B015" w14:textId="77777777" w:rsidR="002C3E10" w:rsidRPr="00DF32B6" w:rsidRDefault="002C3E10" w:rsidP="00896C4D">
            <w:pPr>
              <w:pStyle w:val="ListParagraph"/>
              <w:spacing w:after="80"/>
              <w:ind w:left="0"/>
              <w:contextualSpacing w:val="0"/>
              <w:jc w:val="center"/>
              <w:rPr>
                <w:rFonts w:ascii="Arial" w:hAnsi="Arial" w:cs="Arial"/>
              </w:rPr>
            </w:pPr>
          </w:p>
        </w:tc>
        <w:tc>
          <w:tcPr>
            <w:tcW w:w="3322" w:type="dxa"/>
            <w:vAlign w:val="center"/>
          </w:tcPr>
          <w:p w14:paraId="167CE581" w14:textId="77777777" w:rsidR="002C3E10" w:rsidRPr="00DF32B6" w:rsidRDefault="002C3E10" w:rsidP="00896C4D">
            <w:pPr>
              <w:pStyle w:val="ListParagraph"/>
              <w:spacing w:after="80"/>
              <w:ind w:left="0"/>
              <w:contextualSpacing w:val="0"/>
              <w:jc w:val="center"/>
              <w:rPr>
                <w:rFonts w:ascii="Arial" w:hAnsi="Arial" w:cs="Arial"/>
              </w:rPr>
            </w:pPr>
          </w:p>
        </w:tc>
      </w:tr>
      <w:tr w:rsidR="002C3E10" w:rsidRPr="00DF32B6" w14:paraId="383D53AE" w14:textId="77777777" w:rsidTr="00896C4D">
        <w:trPr>
          <w:cantSplit/>
          <w:jc w:val="center"/>
        </w:trPr>
        <w:tc>
          <w:tcPr>
            <w:tcW w:w="587" w:type="dxa"/>
            <w:vAlign w:val="center"/>
          </w:tcPr>
          <w:p w14:paraId="72AB26A2" w14:textId="77777777" w:rsidR="002C3E10" w:rsidRPr="00DF32B6" w:rsidRDefault="002C3E10" w:rsidP="00896C4D">
            <w:pPr>
              <w:pStyle w:val="ListParagraph"/>
              <w:spacing w:after="80"/>
              <w:ind w:left="0"/>
              <w:contextualSpacing w:val="0"/>
              <w:jc w:val="center"/>
              <w:rPr>
                <w:rFonts w:ascii="Arial" w:hAnsi="Arial" w:cs="Arial"/>
              </w:rPr>
            </w:pPr>
            <w:r>
              <w:rPr>
                <w:rFonts w:ascii="Arial" w:hAnsi="Arial" w:cs="Arial"/>
              </w:rPr>
              <w:t>8.</w:t>
            </w:r>
          </w:p>
        </w:tc>
        <w:tc>
          <w:tcPr>
            <w:tcW w:w="3612" w:type="dxa"/>
            <w:vAlign w:val="bottom"/>
          </w:tcPr>
          <w:p w14:paraId="2AF5FDFA" w14:textId="77777777" w:rsidR="002C3E10" w:rsidRPr="001407DB" w:rsidRDefault="002C3E10" w:rsidP="00896C4D">
            <w:pPr>
              <w:pStyle w:val="ListParagraph"/>
              <w:spacing w:after="80"/>
              <w:ind w:left="0"/>
              <w:contextualSpacing w:val="0"/>
              <w:rPr>
                <w:rFonts w:ascii="Arial" w:hAnsi="Arial" w:cs="Arial"/>
                <w:color w:val="000000"/>
              </w:rPr>
            </w:pPr>
            <w:r>
              <w:rPr>
                <w:rFonts w:ascii="Arial" w:hAnsi="Arial" w:cs="Arial"/>
                <w:color w:val="000000"/>
              </w:rPr>
              <w:t>Unified View of asset and vulnerability data from network and agent-based scans, without duplication of assets</w:t>
            </w:r>
          </w:p>
        </w:tc>
        <w:tc>
          <w:tcPr>
            <w:tcW w:w="856" w:type="dxa"/>
            <w:vAlign w:val="center"/>
          </w:tcPr>
          <w:p w14:paraId="3A1D33AA" w14:textId="77777777" w:rsidR="002C3E10" w:rsidRPr="00DF32B6" w:rsidRDefault="002C3E10" w:rsidP="00896C4D">
            <w:pPr>
              <w:pStyle w:val="ListParagraph"/>
              <w:spacing w:after="80"/>
              <w:ind w:left="0"/>
              <w:contextualSpacing w:val="0"/>
              <w:jc w:val="center"/>
              <w:rPr>
                <w:rFonts w:ascii="Arial" w:eastAsia="MS Gothic" w:hAnsi="Arial" w:cs="Arial"/>
                <w:lang w:val="en-US"/>
              </w:rPr>
            </w:pPr>
          </w:p>
        </w:tc>
        <w:tc>
          <w:tcPr>
            <w:tcW w:w="865" w:type="dxa"/>
            <w:vAlign w:val="center"/>
          </w:tcPr>
          <w:p w14:paraId="0D53E46A" w14:textId="77777777" w:rsidR="002C3E10" w:rsidRPr="00DF32B6" w:rsidRDefault="002C3E10" w:rsidP="00896C4D">
            <w:pPr>
              <w:pStyle w:val="ListParagraph"/>
              <w:spacing w:after="80"/>
              <w:ind w:left="0"/>
              <w:contextualSpacing w:val="0"/>
              <w:jc w:val="center"/>
              <w:rPr>
                <w:rFonts w:ascii="Arial" w:hAnsi="Arial" w:cs="Arial"/>
              </w:rPr>
            </w:pPr>
          </w:p>
        </w:tc>
        <w:tc>
          <w:tcPr>
            <w:tcW w:w="3322" w:type="dxa"/>
            <w:vAlign w:val="center"/>
          </w:tcPr>
          <w:p w14:paraId="666E804F" w14:textId="77777777" w:rsidR="002C3E10" w:rsidRPr="00DF32B6" w:rsidRDefault="002C3E10" w:rsidP="00896C4D">
            <w:pPr>
              <w:pStyle w:val="ListParagraph"/>
              <w:spacing w:after="80"/>
              <w:ind w:left="0"/>
              <w:contextualSpacing w:val="0"/>
              <w:jc w:val="center"/>
              <w:rPr>
                <w:rFonts w:ascii="Arial" w:hAnsi="Arial" w:cs="Arial"/>
              </w:rPr>
            </w:pPr>
          </w:p>
        </w:tc>
      </w:tr>
      <w:tr w:rsidR="002C3E10" w:rsidRPr="00DF32B6" w14:paraId="0DF2EE2A" w14:textId="77777777" w:rsidTr="00896C4D">
        <w:trPr>
          <w:cantSplit/>
          <w:jc w:val="center"/>
        </w:trPr>
        <w:tc>
          <w:tcPr>
            <w:tcW w:w="587" w:type="dxa"/>
            <w:vAlign w:val="center"/>
          </w:tcPr>
          <w:p w14:paraId="23C01327" w14:textId="77777777" w:rsidR="002C3E10" w:rsidRPr="00DF32B6" w:rsidRDefault="002C3E10" w:rsidP="00896C4D">
            <w:pPr>
              <w:pStyle w:val="ListParagraph"/>
              <w:spacing w:after="80"/>
              <w:ind w:left="0"/>
              <w:contextualSpacing w:val="0"/>
              <w:jc w:val="center"/>
              <w:rPr>
                <w:rFonts w:ascii="Arial" w:hAnsi="Arial" w:cs="Arial"/>
              </w:rPr>
            </w:pPr>
            <w:r>
              <w:rPr>
                <w:rFonts w:ascii="Arial" w:hAnsi="Arial" w:cs="Arial"/>
              </w:rPr>
              <w:t>9</w:t>
            </w:r>
            <w:r w:rsidRPr="00DF32B6">
              <w:rPr>
                <w:rFonts w:ascii="Arial" w:hAnsi="Arial" w:cs="Arial"/>
              </w:rPr>
              <w:t>.</w:t>
            </w:r>
          </w:p>
        </w:tc>
        <w:tc>
          <w:tcPr>
            <w:tcW w:w="3612" w:type="dxa"/>
            <w:vAlign w:val="bottom"/>
          </w:tcPr>
          <w:p w14:paraId="1AAB89F3" w14:textId="77777777" w:rsidR="002C3E10" w:rsidRPr="00DF32B6" w:rsidRDefault="002C3E10" w:rsidP="00896C4D">
            <w:pPr>
              <w:pStyle w:val="ListParagraph"/>
              <w:spacing w:after="80"/>
              <w:ind w:left="0"/>
              <w:contextualSpacing w:val="0"/>
              <w:rPr>
                <w:rFonts w:ascii="Arial" w:hAnsi="Arial" w:cs="Arial"/>
              </w:rPr>
            </w:pPr>
            <w:r>
              <w:rPr>
                <w:rFonts w:ascii="Arial" w:hAnsi="Arial" w:cs="Arial"/>
                <w:color w:val="000000"/>
              </w:rPr>
              <w:t>Reporting capabilities as described in the Terms of Reference (point 4)</w:t>
            </w:r>
          </w:p>
        </w:tc>
        <w:tc>
          <w:tcPr>
            <w:tcW w:w="856" w:type="dxa"/>
            <w:vAlign w:val="center"/>
          </w:tcPr>
          <w:p w14:paraId="41D7ED65" w14:textId="77777777" w:rsidR="002C3E10" w:rsidRPr="00DF32B6" w:rsidRDefault="002C3E10" w:rsidP="00896C4D">
            <w:pPr>
              <w:pStyle w:val="ListParagraph"/>
              <w:spacing w:after="80"/>
              <w:ind w:left="0"/>
              <w:contextualSpacing w:val="0"/>
              <w:jc w:val="center"/>
              <w:rPr>
                <w:rFonts w:ascii="Arial" w:eastAsia="MS Gothic" w:hAnsi="Arial" w:cs="Arial"/>
                <w:lang w:val="en-US"/>
              </w:rPr>
            </w:pPr>
          </w:p>
        </w:tc>
        <w:tc>
          <w:tcPr>
            <w:tcW w:w="865" w:type="dxa"/>
            <w:vAlign w:val="center"/>
          </w:tcPr>
          <w:p w14:paraId="13BB056D" w14:textId="77777777" w:rsidR="002C3E10" w:rsidRPr="00DF32B6" w:rsidRDefault="002C3E10" w:rsidP="00896C4D">
            <w:pPr>
              <w:pStyle w:val="ListParagraph"/>
              <w:spacing w:after="80"/>
              <w:ind w:left="0"/>
              <w:contextualSpacing w:val="0"/>
              <w:jc w:val="center"/>
              <w:rPr>
                <w:rFonts w:ascii="Arial" w:hAnsi="Arial" w:cs="Arial"/>
              </w:rPr>
            </w:pPr>
          </w:p>
        </w:tc>
        <w:tc>
          <w:tcPr>
            <w:tcW w:w="3322" w:type="dxa"/>
            <w:vAlign w:val="center"/>
          </w:tcPr>
          <w:p w14:paraId="08CBCFE3" w14:textId="77777777" w:rsidR="002C3E10" w:rsidRPr="00DF32B6" w:rsidRDefault="002C3E10" w:rsidP="00896C4D">
            <w:pPr>
              <w:pStyle w:val="ListParagraph"/>
              <w:spacing w:after="80"/>
              <w:ind w:left="0"/>
              <w:contextualSpacing w:val="0"/>
              <w:jc w:val="center"/>
              <w:rPr>
                <w:rFonts w:ascii="Arial" w:hAnsi="Arial" w:cs="Arial"/>
              </w:rPr>
            </w:pPr>
          </w:p>
        </w:tc>
      </w:tr>
      <w:tr w:rsidR="002C3E10" w:rsidRPr="00DF32B6" w14:paraId="2F21106C" w14:textId="77777777" w:rsidTr="00896C4D">
        <w:trPr>
          <w:cantSplit/>
          <w:jc w:val="center"/>
        </w:trPr>
        <w:tc>
          <w:tcPr>
            <w:tcW w:w="587" w:type="dxa"/>
            <w:vAlign w:val="center"/>
          </w:tcPr>
          <w:p w14:paraId="3BA78BAA" w14:textId="77777777" w:rsidR="002C3E10" w:rsidRPr="00DF32B6" w:rsidRDefault="002C3E10" w:rsidP="00896C4D">
            <w:pPr>
              <w:pStyle w:val="ListParagraph"/>
              <w:spacing w:after="80"/>
              <w:ind w:left="0"/>
              <w:contextualSpacing w:val="0"/>
              <w:jc w:val="center"/>
              <w:rPr>
                <w:rFonts w:ascii="Arial" w:hAnsi="Arial" w:cs="Arial"/>
              </w:rPr>
            </w:pPr>
            <w:r>
              <w:rPr>
                <w:rFonts w:ascii="Arial" w:hAnsi="Arial" w:cs="Arial"/>
              </w:rPr>
              <w:t>10</w:t>
            </w:r>
            <w:r w:rsidRPr="00DF32B6">
              <w:rPr>
                <w:rFonts w:ascii="Arial" w:hAnsi="Arial" w:cs="Arial"/>
              </w:rPr>
              <w:t>.</w:t>
            </w:r>
          </w:p>
        </w:tc>
        <w:tc>
          <w:tcPr>
            <w:tcW w:w="3612" w:type="dxa"/>
            <w:vAlign w:val="bottom"/>
          </w:tcPr>
          <w:p w14:paraId="25A5BA66" w14:textId="77777777" w:rsidR="002C3E10" w:rsidRPr="00DF32B6" w:rsidRDefault="002C3E10" w:rsidP="00896C4D">
            <w:pPr>
              <w:pStyle w:val="ListParagraph"/>
              <w:spacing w:after="80"/>
              <w:ind w:left="0"/>
              <w:contextualSpacing w:val="0"/>
              <w:rPr>
                <w:rFonts w:ascii="Arial" w:hAnsi="Arial" w:cs="Arial"/>
              </w:rPr>
            </w:pPr>
            <w:r>
              <w:rPr>
                <w:rFonts w:ascii="Arial" w:hAnsi="Arial" w:cs="Arial"/>
                <w:color w:val="000000"/>
              </w:rPr>
              <w:t>Vulnerability</w:t>
            </w:r>
            <w:r w:rsidRPr="004B47F1">
              <w:rPr>
                <w:rFonts w:ascii="Arial" w:hAnsi="Arial" w:cs="Arial"/>
                <w:color w:val="000000"/>
              </w:rPr>
              <w:t xml:space="preserve"> data export and import for custom reporting and data input (e.g.</w:t>
            </w:r>
            <w:r>
              <w:rPr>
                <w:rFonts w:ascii="Arial" w:hAnsi="Arial" w:cs="Arial"/>
                <w:color w:val="000000"/>
              </w:rPr>
              <w:t>,</w:t>
            </w:r>
            <w:r w:rsidRPr="004B47F1">
              <w:rPr>
                <w:rFonts w:ascii="Arial" w:hAnsi="Arial" w:cs="Arial"/>
                <w:color w:val="000000"/>
              </w:rPr>
              <w:t xml:space="preserve"> approved asset inventory) </w:t>
            </w:r>
            <w:r>
              <w:rPr>
                <w:rFonts w:ascii="Arial" w:hAnsi="Arial" w:cs="Arial"/>
                <w:color w:val="000000"/>
              </w:rPr>
              <w:t>to/</w:t>
            </w:r>
            <w:r w:rsidRPr="004B47F1">
              <w:rPr>
                <w:rFonts w:ascii="Arial" w:hAnsi="Arial" w:cs="Arial"/>
                <w:color w:val="000000"/>
              </w:rPr>
              <w:t xml:space="preserve">from </w:t>
            </w:r>
            <w:r>
              <w:rPr>
                <w:rFonts w:ascii="Arial" w:hAnsi="Arial" w:cs="Arial"/>
                <w:color w:val="000000"/>
              </w:rPr>
              <w:t xml:space="preserve">the </w:t>
            </w:r>
            <w:r w:rsidRPr="004B47F1">
              <w:rPr>
                <w:rFonts w:ascii="Arial" w:hAnsi="Arial" w:cs="Arial"/>
                <w:color w:val="000000"/>
              </w:rPr>
              <w:t>OSCE internal MS-SQL database, via API</w:t>
            </w:r>
          </w:p>
        </w:tc>
        <w:tc>
          <w:tcPr>
            <w:tcW w:w="856" w:type="dxa"/>
            <w:vAlign w:val="center"/>
          </w:tcPr>
          <w:p w14:paraId="61EC9306" w14:textId="77777777" w:rsidR="002C3E10" w:rsidRPr="00DF32B6" w:rsidRDefault="002C3E10" w:rsidP="00896C4D">
            <w:pPr>
              <w:pStyle w:val="ListParagraph"/>
              <w:spacing w:after="80"/>
              <w:ind w:left="0"/>
              <w:contextualSpacing w:val="0"/>
              <w:jc w:val="center"/>
              <w:rPr>
                <w:rFonts w:ascii="Arial" w:eastAsia="MS Gothic" w:hAnsi="Arial" w:cs="Arial"/>
                <w:lang w:val="en-US"/>
              </w:rPr>
            </w:pPr>
          </w:p>
        </w:tc>
        <w:tc>
          <w:tcPr>
            <w:tcW w:w="865" w:type="dxa"/>
            <w:vAlign w:val="center"/>
          </w:tcPr>
          <w:p w14:paraId="4BD14151" w14:textId="77777777" w:rsidR="002C3E10" w:rsidRPr="00DF32B6" w:rsidRDefault="002C3E10" w:rsidP="00896C4D">
            <w:pPr>
              <w:pStyle w:val="ListParagraph"/>
              <w:spacing w:after="80"/>
              <w:ind w:left="0"/>
              <w:contextualSpacing w:val="0"/>
              <w:jc w:val="center"/>
              <w:rPr>
                <w:rFonts w:ascii="Arial" w:hAnsi="Arial" w:cs="Arial"/>
              </w:rPr>
            </w:pPr>
          </w:p>
        </w:tc>
        <w:tc>
          <w:tcPr>
            <w:tcW w:w="3322" w:type="dxa"/>
            <w:vAlign w:val="center"/>
          </w:tcPr>
          <w:p w14:paraId="35C3AF19" w14:textId="77777777" w:rsidR="002C3E10" w:rsidRPr="00DF32B6" w:rsidRDefault="002C3E10" w:rsidP="00896C4D">
            <w:pPr>
              <w:pStyle w:val="ListParagraph"/>
              <w:spacing w:after="80"/>
              <w:ind w:left="0"/>
              <w:contextualSpacing w:val="0"/>
              <w:jc w:val="center"/>
              <w:rPr>
                <w:rFonts w:ascii="Arial" w:hAnsi="Arial" w:cs="Arial"/>
              </w:rPr>
            </w:pPr>
          </w:p>
        </w:tc>
      </w:tr>
      <w:tr w:rsidR="002C3E10" w:rsidRPr="00DF32B6" w14:paraId="289C999C" w14:textId="77777777" w:rsidTr="00896C4D">
        <w:trPr>
          <w:cantSplit/>
          <w:jc w:val="center"/>
        </w:trPr>
        <w:tc>
          <w:tcPr>
            <w:tcW w:w="587" w:type="dxa"/>
            <w:vAlign w:val="center"/>
          </w:tcPr>
          <w:p w14:paraId="227FDDDF" w14:textId="77777777" w:rsidR="002C3E10" w:rsidRPr="00DF32B6" w:rsidRDefault="002C3E10" w:rsidP="00896C4D">
            <w:pPr>
              <w:pStyle w:val="ListParagraph"/>
              <w:spacing w:after="80"/>
              <w:ind w:left="0"/>
              <w:contextualSpacing w:val="0"/>
              <w:jc w:val="center"/>
              <w:rPr>
                <w:rFonts w:ascii="Arial" w:hAnsi="Arial" w:cs="Arial"/>
              </w:rPr>
            </w:pPr>
            <w:r>
              <w:rPr>
                <w:rFonts w:ascii="Arial" w:hAnsi="Arial" w:cs="Arial"/>
              </w:rPr>
              <w:t>11</w:t>
            </w:r>
            <w:r w:rsidRPr="00DF32B6">
              <w:rPr>
                <w:rFonts w:ascii="Arial" w:hAnsi="Arial" w:cs="Arial"/>
              </w:rPr>
              <w:t>.</w:t>
            </w:r>
          </w:p>
        </w:tc>
        <w:tc>
          <w:tcPr>
            <w:tcW w:w="3612" w:type="dxa"/>
            <w:vAlign w:val="bottom"/>
          </w:tcPr>
          <w:p w14:paraId="1E6F774D" w14:textId="77777777" w:rsidR="002C3E10" w:rsidRPr="00DF32B6" w:rsidRDefault="002C3E10" w:rsidP="00896C4D">
            <w:pPr>
              <w:pStyle w:val="ListParagraph"/>
              <w:spacing w:after="80"/>
              <w:ind w:left="0"/>
              <w:contextualSpacing w:val="0"/>
              <w:rPr>
                <w:rFonts w:ascii="Arial" w:hAnsi="Arial" w:cs="Arial"/>
              </w:rPr>
            </w:pPr>
            <w:r>
              <w:rPr>
                <w:rFonts w:ascii="Arial" w:hAnsi="Arial" w:cs="Arial"/>
              </w:rPr>
              <w:t>Capability to local IT staff across the Organisation to manage their own scanning, asset management and reporting tasks</w:t>
            </w:r>
          </w:p>
        </w:tc>
        <w:tc>
          <w:tcPr>
            <w:tcW w:w="856" w:type="dxa"/>
            <w:vAlign w:val="center"/>
          </w:tcPr>
          <w:p w14:paraId="35407CCC" w14:textId="77777777" w:rsidR="002C3E10" w:rsidRPr="00DF32B6" w:rsidRDefault="002C3E10" w:rsidP="00896C4D">
            <w:pPr>
              <w:pStyle w:val="ListParagraph"/>
              <w:spacing w:after="80"/>
              <w:ind w:left="0"/>
              <w:contextualSpacing w:val="0"/>
              <w:jc w:val="center"/>
              <w:rPr>
                <w:rFonts w:ascii="Arial" w:eastAsia="MS Gothic" w:hAnsi="Arial" w:cs="Arial"/>
                <w:lang w:val="en-US"/>
              </w:rPr>
            </w:pPr>
          </w:p>
        </w:tc>
        <w:tc>
          <w:tcPr>
            <w:tcW w:w="865" w:type="dxa"/>
            <w:vAlign w:val="center"/>
          </w:tcPr>
          <w:p w14:paraId="06005DF4" w14:textId="77777777" w:rsidR="002C3E10" w:rsidRPr="00DF32B6" w:rsidRDefault="002C3E10" w:rsidP="00896C4D">
            <w:pPr>
              <w:pStyle w:val="ListParagraph"/>
              <w:spacing w:after="80"/>
              <w:ind w:left="0"/>
              <w:contextualSpacing w:val="0"/>
              <w:jc w:val="center"/>
              <w:rPr>
                <w:rFonts w:ascii="Arial" w:hAnsi="Arial" w:cs="Arial"/>
              </w:rPr>
            </w:pPr>
          </w:p>
        </w:tc>
        <w:tc>
          <w:tcPr>
            <w:tcW w:w="3322" w:type="dxa"/>
            <w:vAlign w:val="center"/>
          </w:tcPr>
          <w:p w14:paraId="572103D3" w14:textId="77777777" w:rsidR="002C3E10" w:rsidRPr="00DF32B6" w:rsidRDefault="002C3E10" w:rsidP="00896C4D">
            <w:pPr>
              <w:pStyle w:val="ListParagraph"/>
              <w:spacing w:after="80"/>
              <w:ind w:left="0"/>
              <w:contextualSpacing w:val="0"/>
              <w:jc w:val="center"/>
              <w:rPr>
                <w:rFonts w:ascii="Arial" w:hAnsi="Arial" w:cs="Arial"/>
              </w:rPr>
            </w:pPr>
          </w:p>
        </w:tc>
      </w:tr>
      <w:tr w:rsidR="002C3E10" w:rsidRPr="00DF32B6" w14:paraId="22612A4B" w14:textId="77777777" w:rsidTr="00896C4D">
        <w:trPr>
          <w:cantSplit/>
          <w:jc w:val="center"/>
        </w:trPr>
        <w:tc>
          <w:tcPr>
            <w:tcW w:w="587" w:type="dxa"/>
            <w:vAlign w:val="center"/>
          </w:tcPr>
          <w:p w14:paraId="1ABDB4FD" w14:textId="77777777" w:rsidR="002C3E10" w:rsidRPr="00DF32B6" w:rsidRDefault="002C3E10" w:rsidP="00896C4D">
            <w:pPr>
              <w:pStyle w:val="ListParagraph"/>
              <w:spacing w:after="80"/>
              <w:ind w:left="0"/>
              <w:contextualSpacing w:val="0"/>
              <w:jc w:val="center"/>
              <w:rPr>
                <w:rFonts w:ascii="Arial" w:hAnsi="Arial" w:cs="Arial"/>
              </w:rPr>
            </w:pPr>
            <w:r>
              <w:rPr>
                <w:rFonts w:ascii="Arial" w:hAnsi="Arial" w:cs="Arial"/>
              </w:rPr>
              <w:t>12</w:t>
            </w:r>
            <w:r w:rsidRPr="00DF32B6">
              <w:rPr>
                <w:rFonts w:ascii="Arial" w:hAnsi="Arial" w:cs="Arial"/>
              </w:rPr>
              <w:t>.</w:t>
            </w:r>
          </w:p>
        </w:tc>
        <w:tc>
          <w:tcPr>
            <w:tcW w:w="3612" w:type="dxa"/>
            <w:vAlign w:val="bottom"/>
          </w:tcPr>
          <w:p w14:paraId="7AD5140A" w14:textId="77777777" w:rsidR="002C3E10" w:rsidRPr="00DF32B6" w:rsidRDefault="002C3E10" w:rsidP="00896C4D">
            <w:pPr>
              <w:pStyle w:val="ListParagraph"/>
              <w:spacing w:after="80"/>
              <w:ind w:left="0"/>
              <w:contextualSpacing w:val="0"/>
              <w:rPr>
                <w:rFonts w:ascii="Arial" w:hAnsi="Arial" w:cs="Arial"/>
              </w:rPr>
            </w:pPr>
            <w:r>
              <w:rPr>
                <w:rFonts w:ascii="Arial" w:hAnsi="Arial" w:cs="Arial"/>
              </w:rPr>
              <w:t>Vulnerability assessment and reporting with differentiated levels of risk per vulnerability and recommended remediation targets per vulnerability based on criticality of asset and severity of vulnerability</w:t>
            </w:r>
          </w:p>
        </w:tc>
        <w:tc>
          <w:tcPr>
            <w:tcW w:w="856" w:type="dxa"/>
            <w:vAlign w:val="center"/>
          </w:tcPr>
          <w:p w14:paraId="5B6EC46F" w14:textId="77777777" w:rsidR="002C3E10" w:rsidRPr="00DF32B6" w:rsidRDefault="002C3E10" w:rsidP="00896C4D">
            <w:pPr>
              <w:pStyle w:val="ListParagraph"/>
              <w:spacing w:after="80"/>
              <w:ind w:left="0"/>
              <w:contextualSpacing w:val="0"/>
              <w:jc w:val="center"/>
              <w:rPr>
                <w:rFonts w:ascii="Arial" w:eastAsia="MS Gothic" w:hAnsi="Arial" w:cs="Arial"/>
                <w:lang w:val="en-US"/>
              </w:rPr>
            </w:pPr>
          </w:p>
        </w:tc>
        <w:tc>
          <w:tcPr>
            <w:tcW w:w="865" w:type="dxa"/>
            <w:vAlign w:val="center"/>
          </w:tcPr>
          <w:p w14:paraId="4372B974" w14:textId="77777777" w:rsidR="002C3E10" w:rsidRPr="00DF32B6" w:rsidRDefault="002C3E10" w:rsidP="00896C4D">
            <w:pPr>
              <w:pStyle w:val="ListParagraph"/>
              <w:spacing w:after="80"/>
              <w:ind w:left="0"/>
              <w:contextualSpacing w:val="0"/>
              <w:jc w:val="center"/>
              <w:rPr>
                <w:rFonts w:ascii="Arial" w:hAnsi="Arial" w:cs="Arial"/>
              </w:rPr>
            </w:pPr>
          </w:p>
        </w:tc>
        <w:tc>
          <w:tcPr>
            <w:tcW w:w="3322" w:type="dxa"/>
            <w:vAlign w:val="center"/>
          </w:tcPr>
          <w:p w14:paraId="23417CE5" w14:textId="77777777" w:rsidR="002C3E10" w:rsidRPr="00DF32B6" w:rsidRDefault="002C3E10" w:rsidP="00896C4D">
            <w:pPr>
              <w:pStyle w:val="ListParagraph"/>
              <w:spacing w:after="80"/>
              <w:ind w:left="0"/>
              <w:contextualSpacing w:val="0"/>
              <w:jc w:val="center"/>
              <w:rPr>
                <w:rFonts w:ascii="Arial" w:hAnsi="Arial" w:cs="Arial"/>
              </w:rPr>
            </w:pPr>
          </w:p>
        </w:tc>
      </w:tr>
      <w:tr w:rsidR="002C3E10" w:rsidRPr="00DF32B6" w14:paraId="3F6B2DA4" w14:textId="77777777" w:rsidTr="00896C4D">
        <w:trPr>
          <w:cantSplit/>
          <w:jc w:val="center"/>
        </w:trPr>
        <w:tc>
          <w:tcPr>
            <w:tcW w:w="587" w:type="dxa"/>
            <w:vAlign w:val="center"/>
          </w:tcPr>
          <w:p w14:paraId="04A05591" w14:textId="77777777" w:rsidR="002C3E10" w:rsidRPr="00DF32B6" w:rsidRDefault="002C3E10" w:rsidP="00896C4D">
            <w:pPr>
              <w:pStyle w:val="ListParagraph"/>
              <w:spacing w:after="80"/>
              <w:ind w:left="0"/>
              <w:contextualSpacing w:val="0"/>
              <w:jc w:val="center"/>
              <w:rPr>
                <w:rFonts w:ascii="Arial" w:hAnsi="Arial" w:cs="Arial"/>
              </w:rPr>
            </w:pPr>
            <w:r>
              <w:rPr>
                <w:rFonts w:ascii="Arial" w:hAnsi="Arial" w:cs="Arial"/>
              </w:rPr>
              <w:lastRenderedPageBreak/>
              <w:t>13.</w:t>
            </w:r>
          </w:p>
        </w:tc>
        <w:tc>
          <w:tcPr>
            <w:tcW w:w="3612" w:type="dxa"/>
            <w:vAlign w:val="bottom"/>
          </w:tcPr>
          <w:p w14:paraId="15FF58BF" w14:textId="77777777" w:rsidR="002C3E10" w:rsidRDefault="002C3E10" w:rsidP="00896C4D">
            <w:pPr>
              <w:pStyle w:val="ListParagraph"/>
              <w:spacing w:after="80"/>
              <w:ind w:left="0"/>
              <w:contextualSpacing w:val="0"/>
              <w:rPr>
                <w:rFonts w:ascii="Arial" w:hAnsi="Arial" w:cs="Arial"/>
              </w:rPr>
            </w:pPr>
            <w:r>
              <w:rPr>
                <w:rFonts w:ascii="Arial" w:hAnsi="Arial" w:cs="Arial"/>
              </w:rPr>
              <w:t>Authenticated/encrypted report delivery</w:t>
            </w:r>
          </w:p>
        </w:tc>
        <w:tc>
          <w:tcPr>
            <w:tcW w:w="856" w:type="dxa"/>
            <w:vAlign w:val="center"/>
          </w:tcPr>
          <w:p w14:paraId="7FFC4C48" w14:textId="77777777" w:rsidR="002C3E10" w:rsidRPr="00DF32B6" w:rsidRDefault="002C3E10" w:rsidP="00896C4D">
            <w:pPr>
              <w:pStyle w:val="ListParagraph"/>
              <w:spacing w:after="80"/>
              <w:ind w:left="0"/>
              <w:contextualSpacing w:val="0"/>
              <w:jc w:val="center"/>
              <w:rPr>
                <w:rFonts w:ascii="Arial" w:eastAsia="MS Gothic" w:hAnsi="Arial" w:cs="Arial"/>
                <w:lang w:val="en-US"/>
              </w:rPr>
            </w:pPr>
          </w:p>
        </w:tc>
        <w:tc>
          <w:tcPr>
            <w:tcW w:w="865" w:type="dxa"/>
            <w:vAlign w:val="center"/>
          </w:tcPr>
          <w:p w14:paraId="0D076F81" w14:textId="77777777" w:rsidR="002C3E10" w:rsidRPr="00DF32B6" w:rsidRDefault="002C3E10" w:rsidP="00896C4D">
            <w:pPr>
              <w:pStyle w:val="ListParagraph"/>
              <w:spacing w:after="80"/>
              <w:ind w:left="0"/>
              <w:contextualSpacing w:val="0"/>
              <w:jc w:val="center"/>
              <w:rPr>
                <w:rFonts w:ascii="Arial" w:hAnsi="Arial" w:cs="Arial"/>
              </w:rPr>
            </w:pPr>
          </w:p>
        </w:tc>
        <w:tc>
          <w:tcPr>
            <w:tcW w:w="3322" w:type="dxa"/>
            <w:vAlign w:val="center"/>
          </w:tcPr>
          <w:p w14:paraId="714D5963" w14:textId="77777777" w:rsidR="002C3E10" w:rsidRPr="00DF32B6" w:rsidRDefault="002C3E10" w:rsidP="00896C4D">
            <w:pPr>
              <w:pStyle w:val="ListParagraph"/>
              <w:spacing w:after="80"/>
              <w:ind w:left="0"/>
              <w:contextualSpacing w:val="0"/>
              <w:jc w:val="center"/>
              <w:rPr>
                <w:rFonts w:ascii="Arial" w:hAnsi="Arial" w:cs="Arial"/>
              </w:rPr>
            </w:pPr>
          </w:p>
        </w:tc>
      </w:tr>
      <w:tr w:rsidR="002C3E10" w:rsidRPr="00DF32B6" w14:paraId="02D36CD8" w14:textId="77777777" w:rsidTr="00896C4D">
        <w:trPr>
          <w:cantSplit/>
          <w:jc w:val="center"/>
        </w:trPr>
        <w:tc>
          <w:tcPr>
            <w:tcW w:w="587" w:type="dxa"/>
            <w:vAlign w:val="center"/>
          </w:tcPr>
          <w:p w14:paraId="0DC2BE07" w14:textId="77777777" w:rsidR="002C3E10" w:rsidRPr="00DF32B6" w:rsidRDefault="002C3E10" w:rsidP="00896C4D">
            <w:pPr>
              <w:pStyle w:val="ListParagraph"/>
              <w:spacing w:after="80"/>
              <w:ind w:left="0"/>
              <w:contextualSpacing w:val="0"/>
              <w:jc w:val="center"/>
              <w:rPr>
                <w:rFonts w:ascii="Arial" w:hAnsi="Arial" w:cs="Arial"/>
              </w:rPr>
            </w:pPr>
            <w:r>
              <w:rPr>
                <w:rFonts w:ascii="Arial" w:hAnsi="Arial" w:cs="Arial"/>
              </w:rPr>
              <w:t>14</w:t>
            </w:r>
            <w:r w:rsidRPr="00DF32B6">
              <w:rPr>
                <w:rFonts w:ascii="Arial" w:hAnsi="Arial" w:cs="Arial"/>
              </w:rPr>
              <w:t>.</w:t>
            </w:r>
          </w:p>
        </w:tc>
        <w:tc>
          <w:tcPr>
            <w:tcW w:w="3612" w:type="dxa"/>
            <w:vAlign w:val="bottom"/>
          </w:tcPr>
          <w:p w14:paraId="0300D708" w14:textId="77777777" w:rsidR="002C3E10" w:rsidRPr="00DF32B6" w:rsidRDefault="002C3E10" w:rsidP="00896C4D">
            <w:pPr>
              <w:pStyle w:val="ListParagraph"/>
              <w:spacing w:after="80"/>
              <w:ind w:left="0"/>
              <w:contextualSpacing w:val="0"/>
              <w:rPr>
                <w:rFonts w:ascii="Arial" w:hAnsi="Arial" w:cs="Arial"/>
              </w:rPr>
            </w:pPr>
            <w:r>
              <w:rPr>
                <w:rFonts w:ascii="Arial" w:hAnsi="Arial" w:cs="Arial"/>
              </w:rPr>
              <w:t>Assignment of vulnerability remediation tasks to asset pool owners with remediation deadlines based on criticality of asset and severity of vulnerability</w:t>
            </w:r>
          </w:p>
        </w:tc>
        <w:tc>
          <w:tcPr>
            <w:tcW w:w="856" w:type="dxa"/>
            <w:vAlign w:val="center"/>
          </w:tcPr>
          <w:p w14:paraId="52460221" w14:textId="77777777" w:rsidR="002C3E10" w:rsidRPr="00DF32B6" w:rsidRDefault="002C3E10" w:rsidP="00896C4D">
            <w:pPr>
              <w:pStyle w:val="ListParagraph"/>
              <w:spacing w:after="80"/>
              <w:ind w:left="0"/>
              <w:contextualSpacing w:val="0"/>
              <w:jc w:val="center"/>
              <w:rPr>
                <w:rFonts w:ascii="Arial" w:eastAsia="MS Gothic" w:hAnsi="Arial" w:cs="Arial"/>
                <w:lang w:val="en-US"/>
              </w:rPr>
            </w:pPr>
          </w:p>
        </w:tc>
        <w:tc>
          <w:tcPr>
            <w:tcW w:w="865" w:type="dxa"/>
            <w:vAlign w:val="center"/>
          </w:tcPr>
          <w:p w14:paraId="62CC9CFB" w14:textId="77777777" w:rsidR="002C3E10" w:rsidRPr="00DF32B6" w:rsidRDefault="002C3E10" w:rsidP="00896C4D">
            <w:pPr>
              <w:pStyle w:val="ListParagraph"/>
              <w:spacing w:after="80"/>
              <w:ind w:left="0"/>
              <w:contextualSpacing w:val="0"/>
              <w:jc w:val="center"/>
              <w:rPr>
                <w:rFonts w:ascii="Arial" w:hAnsi="Arial" w:cs="Arial"/>
              </w:rPr>
            </w:pPr>
          </w:p>
        </w:tc>
        <w:tc>
          <w:tcPr>
            <w:tcW w:w="3322" w:type="dxa"/>
            <w:vAlign w:val="center"/>
          </w:tcPr>
          <w:p w14:paraId="5EAF36BA" w14:textId="77777777" w:rsidR="002C3E10" w:rsidRPr="00DF32B6" w:rsidRDefault="002C3E10" w:rsidP="00896C4D">
            <w:pPr>
              <w:pStyle w:val="ListParagraph"/>
              <w:spacing w:after="80"/>
              <w:ind w:left="0"/>
              <w:contextualSpacing w:val="0"/>
              <w:jc w:val="center"/>
              <w:rPr>
                <w:rFonts w:ascii="Arial" w:hAnsi="Arial" w:cs="Arial"/>
              </w:rPr>
            </w:pPr>
          </w:p>
        </w:tc>
      </w:tr>
      <w:tr w:rsidR="002C3E10" w:rsidRPr="00DF32B6" w14:paraId="64528DE1" w14:textId="77777777" w:rsidTr="00896C4D">
        <w:trPr>
          <w:cantSplit/>
          <w:jc w:val="center"/>
        </w:trPr>
        <w:tc>
          <w:tcPr>
            <w:tcW w:w="587" w:type="dxa"/>
            <w:vAlign w:val="center"/>
          </w:tcPr>
          <w:p w14:paraId="040343D5" w14:textId="77777777" w:rsidR="002C3E10" w:rsidRPr="00DF32B6" w:rsidRDefault="002C3E10" w:rsidP="00896C4D">
            <w:pPr>
              <w:pStyle w:val="ListParagraph"/>
              <w:spacing w:after="80"/>
              <w:ind w:left="0"/>
              <w:contextualSpacing w:val="0"/>
              <w:jc w:val="center"/>
              <w:rPr>
                <w:rFonts w:ascii="Arial" w:hAnsi="Arial" w:cs="Arial"/>
              </w:rPr>
            </w:pPr>
            <w:r>
              <w:rPr>
                <w:rFonts w:ascii="Arial" w:hAnsi="Arial" w:cs="Arial"/>
              </w:rPr>
              <w:t>15</w:t>
            </w:r>
            <w:r w:rsidRPr="00DF32B6">
              <w:rPr>
                <w:rFonts w:ascii="Arial" w:hAnsi="Arial" w:cs="Arial"/>
              </w:rPr>
              <w:t>.</w:t>
            </w:r>
          </w:p>
        </w:tc>
        <w:tc>
          <w:tcPr>
            <w:tcW w:w="3612" w:type="dxa"/>
            <w:vAlign w:val="bottom"/>
          </w:tcPr>
          <w:p w14:paraId="0C4E000D" w14:textId="77777777" w:rsidR="002C3E10" w:rsidRPr="00DF32B6" w:rsidRDefault="002C3E10" w:rsidP="00896C4D">
            <w:pPr>
              <w:pStyle w:val="ListParagraph"/>
              <w:spacing w:after="80"/>
              <w:ind w:left="0"/>
              <w:contextualSpacing w:val="0"/>
              <w:rPr>
                <w:rFonts w:ascii="Arial" w:hAnsi="Arial" w:cs="Arial"/>
              </w:rPr>
            </w:pPr>
            <w:r>
              <w:rPr>
                <w:rFonts w:ascii="Arial" w:hAnsi="Arial" w:cs="Arial"/>
              </w:rPr>
              <w:t>Unlimited number of users</w:t>
            </w:r>
          </w:p>
        </w:tc>
        <w:tc>
          <w:tcPr>
            <w:tcW w:w="856" w:type="dxa"/>
            <w:vAlign w:val="center"/>
          </w:tcPr>
          <w:p w14:paraId="2764A9A3" w14:textId="77777777" w:rsidR="002C3E10" w:rsidRPr="00DF32B6" w:rsidRDefault="002C3E10" w:rsidP="00896C4D">
            <w:pPr>
              <w:pStyle w:val="ListParagraph"/>
              <w:spacing w:after="80"/>
              <w:ind w:left="0"/>
              <w:contextualSpacing w:val="0"/>
              <w:jc w:val="center"/>
              <w:rPr>
                <w:rFonts w:ascii="Arial" w:eastAsia="MS Gothic" w:hAnsi="Arial" w:cs="Arial"/>
                <w:lang w:val="en-US"/>
              </w:rPr>
            </w:pPr>
          </w:p>
        </w:tc>
        <w:tc>
          <w:tcPr>
            <w:tcW w:w="865" w:type="dxa"/>
            <w:vAlign w:val="center"/>
          </w:tcPr>
          <w:p w14:paraId="5BCCA244" w14:textId="77777777" w:rsidR="002C3E10" w:rsidRPr="00DF32B6" w:rsidRDefault="002C3E10" w:rsidP="00896C4D">
            <w:pPr>
              <w:pStyle w:val="ListParagraph"/>
              <w:spacing w:after="80"/>
              <w:ind w:left="0"/>
              <w:contextualSpacing w:val="0"/>
              <w:jc w:val="center"/>
              <w:rPr>
                <w:rFonts w:ascii="Arial" w:hAnsi="Arial" w:cs="Arial"/>
              </w:rPr>
            </w:pPr>
          </w:p>
        </w:tc>
        <w:tc>
          <w:tcPr>
            <w:tcW w:w="3322" w:type="dxa"/>
            <w:vAlign w:val="center"/>
          </w:tcPr>
          <w:p w14:paraId="5479EBA9" w14:textId="77777777" w:rsidR="002C3E10" w:rsidRPr="00DF32B6" w:rsidRDefault="002C3E10" w:rsidP="00896C4D">
            <w:pPr>
              <w:pStyle w:val="ListParagraph"/>
              <w:spacing w:after="80"/>
              <w:ind w:left="0"/>
              <w:contextualSpacing w:val="0"/>
              <w:jc w:val="center"/>
              <w:rPr>
                <w:rFonts w:ascii="Arial" w:hAnsi="Arial" w:cs="Arial"/>
              </w:rPr>
            </w:pPr>
          </w:p>
        </w:tc>
      </w:tr>
      <w:tr w:rsidR="002C3E10" w:rsidRPr="00DF32B6" w14:paraId="48CADD60" w14:textId="77777777" w:rsidTr="00896C4D">
        <w:trPr>
          <w:cantSplit/>
          <w:jc w:val="center"/>
        </w:trPr>
        <w:tc>
          <w:tcPr>
            <w:tcW w:w="587" w:type="dxa"/>
            <w:vAlign w:val="center"/>
          </w:tcPr>
          <w:p w14:paraId="4E19E89F" w14:textId="77777777" w:rsidR="002C3E10" w:rsidRPr="00DF32B6" w:rsidRDefault="002C3E10" w:rsidP="00896C4D">
            <w:pPr>
              <w:pStyle w:val="ListParagraph"/>
              <w:spacing w:after="80"/>
              <w:ind w:left="0"/>
              <w:contextualSpacing w:val="0"/>
              <w:jc w:val="center"/>
              <w:rPr>
                <w:rFonts w:ascii="Arial" w:hAnsi="Arial" w:cs="Arial"/>
              </w:rPr>
            </w:pPr>
            <w:r>
              <w:rPr>
                <w:rFonts w:ascii="Arial" w:hAnsi="Arial" w:cs="Arial"/>
              </w:rPr>
              <w:t>16</w:t>
            </w:r>
            <w:r w:rsidRPr="00DF32B6">
              <w:rPr>
                <w:rFonts w:ascii="Arial" w:hAnsi="Arial" w:cs="Arial"/>
              </w:rPr>
              <w:t>.</w:t>
            </w:r>
          </w:p>
        </w:tc>
        <w:tc>
          <w:tcPr>
            <w:tcW w:w="3612" w:type="dxa"/>
            <w:vAlign w:val="bottom"/>
          </w:tcPr>
          <w:p w14:paraId="52FE0D94" w14:textId="77777777" w:rsidR="002C3E10" w:rsidRPr="00DF32B6" w:rsidRDefault="002C3E10" w:rsidP="00896C4D">
            <w:pPr>
              <w:pStyle w:val="ListParagraph"/>
              <w:spacing w:after="80"/>
              <w:ind w:left="0"/>
              <w:contextualSpacing w:val="0"/>
              <w:rPr>
                <w:rFonts w:ascii="Arial" w:hAnsi="Arial" w:cs="Arial"/>
              </w:rPr>
            </w:pPr>
            <w:r>
              <w:rPr>
                <w:rFonts w:ascii="Arial" w:hAnsi="Arial" w:cs="Arial"/>
              </w:rPr>
              <w:t>Differentiated user roles by privilege level, asset pool and device access</w:t>
            </w:r>
          </w:p>
        </w:tc>
        <w:tc>
          <w:tcPr>
            <w:tcW w:w="856" w:type="dxa"/>
            <w:vAlign w:val="center"/>
          </w:tcPr>
          <w:p w14:paraId="775BBD3B" w14:textId="77777777" w:rsidR="002C3E10" w:rsidRPr="00DF32B6" w:rsidRDefault="002C3E10" w:rsidP="00896C4D">
            <w:pPr>
              <w:pStyle w:val="ListParagraph"/>
              <w:spacing w:after="80"/>
              <w:ind w:left="0"/>
              <w:contextualSpacing w:val="0"/>
              <w:jc w:val="center"/>
              <w:rPr>
                <w:rFonts w:ascii="Arial" w:eastAsia="MS Gothic" w:hAnsi="Arial" w:cs="Arial"/>
                <w:lang w:val="en-US"/>
              </w:rPr>
            </w:pPr>
          </w:p>
        </w:tc>
        <w:tc>
          <w:tcPr>
            <w:tcW w:w="865" w:type="dxa"/>
            <w:vAlign w:val="center"/>
          </w:tcPr>
          <w:p w14:paraId="157771CE" w14:textId="77777777" w:rsidR="002C3E10" w:rsidRPr="00DF32B6" w:rsidRDefault="002C3E10" w:rsidP="00896C4D">
            <w:pPr>
              <w:pStyle w:val="ListParagraph"/>
              <w:spacing w:after="80"/>
              <w:ind w:left="0"/>
              <w:contextualSpacing w:val="0"/>
              <w:jc w:val="center"/>
              <w:rPr>
                <w:rFonts w:ascii="Arial" w:hAnsi="Arial" w:cs="Arial"/>
              </w:rPr>
            </w:pPr>
          </w:p>
        </w:tc>
        <w:tc>
          <w:tcPr>
            <w:tcW w:w="3322" w:type="dxa"/>
            <w:vAlign w:val="center"/>
          </w:tcPr>
          <w:p w14:paraId="22559892" w14:textId="77777777" w:rsidR="002C3E10" w:rsidRPr="00DF32B6" w:rsidRDefault="002C3E10" w:rsidP="00896C4D">
            <w:pPr>
              <w:pStyle w:val="ListParagraph"/>
              <w:spacing w:after="80"/>
              <w:ind w:left="0"/>
              <w:contextualSpacing w:val="0"/>
              <w:jc w:val="center"/>
              <w:rPr>
                <w:rFonts w:ascii="Arial" w:hAnsi="Arial" w:cs="Arial"/>
              </w:rPr>
            </w:pPr>
          </w:p>
        </w:tc>
      </w:tr>
      <w:tr w:rsidR="002C3E10" w:rsidRPr="00DF32B6" w14:paraId="2B9D23E4" w14:textId="77777777" w:rsidTr="00896C4D">
        <w:trPr>
          <w:cantSplit/>
          <w:jc w:val="center"/>
        </w:trPr>
        <w:tc>
          <w:tcPr>
            <w:tcW w:w="587" w:type="dxa"/>
            <w:vAlign w:val="center"/>
          </w:tcPr>
          <w:p w14:paraId="299B7887" w14:textId="77777777" w:rsidR="002C3E10" w:rsidRPr="00DF32B6" w:rsidRDefault="002C3E10" w:rsidP="00896C4D">
            <w:pPr>
              <w:pStyle w:val="ListParagraph"/>
              <w:spacing w:after="80"/>
              <w:ind w:left="0"/>
              <w:contextualSpacing w:val="0"/>
              <w:jc w:val="center"/>
              <w:rPr>
                <w:rFonts w:ascii="Arial" w:hAnsi="Arial" w:cs="Arial"/>
              </w:rPr>
            </w:pPr>
            <w:r>
              <w:rPr>
                <w:rFonts w:ascii="Arial" w:hAnsi="Arial" w:cs="Arial"/>
              </w:rPr>
              <w:t>17</w:t>
            </w:r>
            <w:r w:rsidRPr="00DF32B6">
              <w:rPr>
                <w:rFonts w:ascii="Arial" w:hAnsi="Arial" w:cs="Arial"/>
              </w:rPr>
              <w:t>.</w:t>
            </w:r>
          </w:p>
        </w:tc>
        <w:tc>
          <w:tcPr>
            <w:tcW w:w="3612" w:type="dxa"/>
            <w:vAlign w:val="bottom"/>
          </w:tcPr>
          <w:p w14:paraId="4C6BA5EA" w14:textId="77777777" w:rsidR="002C3E10" w:rsidRPr="00DF32B6" w:rsidRDefault="002C3E10" w:rsidP="00896C4D">
            <w:pPr>
              <w:pStyle w:val="ListParagraph"/>
              <w:spacing w:after="80"/>
              <w:ind w:left="0"/>
              <w:contextualSpacing w:val="0"/>
              <w:rPr>
                <w:rFonts w:ascii="Arial" w:hAnsi="Arial" w:cs="Arial"/>
              </w:rPr>
            </w:pPr>
            <w:r w:rsidRPr="00F71F07">
              <w:rPr>
                <w:rFonts w:ascii="Arial" w:hAnsi="Arial" w:cs="Arial"/>
                <w:color w:val="000000"/>
              </w:rPr>
              <w:t xml:space="preserve">Authenticated network scans for network devices and non-endpoint devices (e.g. printers, scanners, </w:t>
            </w:r>
            <w:proofErr w:type="spellStart"/>
            <w:r w:rsidRPr="00F71F07">
              <w:rPr>
                <w:rFonts w:ascii="Arial" w:hAnsi="Arial" w:cs="Arial"/>
                <w:color w:val="000000"/>
              </w:rPr>
              <w:t>IoT</w:t>
            </w:r>
            <w:proofErr w:type="spellEnd"/>
            <w:r w:rsidRPr="00F71F07">
              <w:rPr>
                <w:rFonts w:ascii="Arial" w:hAnsi="Arial" w:cs="Arial"/>
                <w:color w:val="000000"/>
              </w:rPr>
              <w:t xml:space="preserve"> devices, etc.)</w:t>
            </w:r>
          </w:p>
        </w:tc>
        <w:tc>
          <w:tcPr>
            <w:tcW w:w="856" w:type="dxa"/>
            <w:vAlign w:val="center"/>
          </w:tcPr>
          <w:p w14:paraId="58C8D7CD" w14:textId="77777777" w:rsidR="002C3E10" w:rsidRPr="00DF32B6" w:rsidRDefault="002C3E10" w:rsidP="00896C4D">
            <w:pPr>
              <w:pStyle w:val="ListParagraph"/>
              <w:spacing w:after="80"/>
              <w:ind w:left="0"/>
              <w:contextualSpacing w:val="0"/>
              <w:jc w:val="center"/>
              <w:rPr>
                <w:rFonts w:ascii="Arial" w:eastAsia="MS Gothic" w:hAnsi="Arial" w:cs="Arial"/>
                <w:lang w:val="en-US"/>
              </w:rPr>
            </w:pPr>
          </w:p>
        </w:tc>
        <w:tc>
          <w:tcPr>
            <w:tcW w:w="865" w:type="dxa"/>
            <w:vAlign w:val="center"/>
          </w:tcPr>
          <w:p w14:paraId="2C0BAC7D" w14:textId="77777777" w:rsidR="002C3E10" w:rsidRPr="00DF32B6" w:rsidRDefault="002C3E10" w:rsidP="00896C4D">
            <w:pPr>
              <w:pStyle w:val="ListParagraph"/>
              <w:spacing w:after="80"/>
              <w:ind w:left="0"/>
              <w:contextualSpacing w:val="0"/>
              <w:jc w:val="center"/>
              <w:rPr>
                <w:rFonts w:ascii="Arial" w:hAnsi="Arial" w:cs="Arial"/>
              </w:rPr>
            </w:pPr>
          </w:p>
        </w:tc>
        <w:tc>
          <w:tcPr>
            <w:tcW w:w="3322" w:type="dxa"/>
            <w:vAlign w:val="center"/>
          </w:tcPr>
          <w:p w14:paraId="56E50928" w14:textId="77777777" w:rsidR="002C3E10" w:rsidRPr="00DF32B6" w:rsidRDefault="002C3E10" w:rsidP="00896C4D">
            <w:pPr>
              <w:pStyle w:val="ListParagraph"/>
              <w:spacing w:after="80"/>
              <w:ind w:left="0"/>
              <w:contextualSpacing w:val="0"/>
              <w:jc w:val="center"/>
              <w:rPr>
                <w:rFonts w:ascii="Arial" w:hAnsi="Arial" w:cs="Arial"/>
              </w:rPr>
            </w:pPr>
          </w:p>
        </w:tc>
      </w:tr>
      <w:tr w:rsidR="002C3E10" w:rsidRPr="00DF32B6" w14:paraId="60706409" w14:textId="77777777" w:rsidTr="00896C4D">
        <w:trPr>
          <w:cantSplit/>
          <w:jc w:val="center"/>
        </w:trPr>
        <w:tc>
          <w:tcPr>
            <w:tcW w:w="587" w:type="dxa"/>
            <w:vAlign w:val="center"/>
          </w:tcPr>
          <w:p w14:paraId="4676ABEF" w14:textId="77777777" w:rsidR="002C3E10" w:rsidRPr="00DF32B6" w:rsidRDefault="002C3E10" w:rsidP="00896C4D">
            <w:pPr>
              <w:pStyle w:val="ListParagraph"/>
              <w:spacing w:after="80"/>
              <w:ind w:left="0"/>
              <w:contextualSpacing w:val="0"/>
              <w:jc w:val="center"/>
              <w:rPr>
                <w:rFonts w:ascii="Arial" w:hAnsi="Arial" w:cs="Arial"/>
              </w:rPr>
            </w:pPr>
            <w:r>
              <w:rPr>
                <w:rFonts w:ascii="Arial" w:hAnsi="Arial" w:cs="Arial"/>
              </w:rPr>
              <w:t>18</w:t>
            </w:r>
            <w:r w:rsidRPr="00DF32B6">
              <w:rPr>
                <w:rFonts w:ascii="Arial" w:hAnsi="Arial" w:cs="Arial"/>
              </w:rPr>
              <w:t>.</w:t>
            </w:r>
          </w:p>
        </w:tc>
        <w:tc>
          <w:tcPr>
            <w:tcW w:w="3612" w:type="dxa"/>
            <w:vAlign w:val="bottom"/>
          </w:tcPr>
          <w:p w14:paraId="51AEBBF3" w14:textId="77777777" w:rsidR="002C3E10" w:rsidRPr="00DF32B6" w:rsidRDefault="002C3E10" w:rsidP="00896C4D">
            <w:pPr>
              <w:pStyle w:val="ListParagraph"/>
              <w:spacing w:after="80"/>
              <w:ind w:left="0"/>
              <w:contextualSpacing w:val="0"/>
              <w:rPr>
                <w:rFonts w:ascii="Arial" w:hAnsi="Arial" w:cs="Arial"/>
              </w:rPr>
            </w:pPr>
            <w:r>
              <w:rPr>
                <w:rFonts w:ascii="Arial" w:hAnsi="Arial" w:cs="Arial"/>
                <w:color w:val="000000"/>
              </w:rPr>
              <w:t>Two-</w:t>
            </w:r>
            <w:r w:rsidRPr="00F26E42">
              <w:rPr>
                <w:rFonts w:ascii="Arial" w:hAnsi="Arial" w:cs="Arial"/>
                <w:color w:val="000000"/>
              </w:rPr>
              <w:t>factor authentication (use of RSA token is preferred as thi</w:t>
            </w:r>
            <w:r>
              <w:rPr>
                <w:rFonts w:ascii="Arial" w:hAnsi="Arial" w:cs="Arial"/>
                <w:color w:val="000000"/>
              </w:rPr>
              <w:t>s is already available at the OSCE)</w:t>
            </w:r>
          </w:p>
        </w:tc>
        <w:tc>
          <w:tcPr>
            <w:tcW w:w="856" w:type="dxa"/>
            <w:vAlign w:val="center"/>
          </w:tcPr>
          <w:p w14:paraId="376D4819" w14:textId="77777777" w:rsidR="002C3E10" w:rsidRPr="00DF32B6" w:rsidRDefault="002C3E10" w:rsidP="00896C4D">
            <w:pPr>
              <w:pStyle w:val="ListParagraph"/>
              <w:spacing w:after="80"/>
              <w:ind w:left="0"/>
              <w:contextualSpacing w:val="0"/>
              <w:jc w:val="center"/>
              <w:rPr>
                <w:rFonts w:ascii="Arial" w:eastAsia="MS Gothic" w:hAnsi="Arial" w:cs="Arial"/>
                <w:lang w:val="en-US"/>
              </w:rPr>
            </w:pPr>
          </w:p>
        </w:tc>
        <w:tc>
          <w:tcPr>
            <w:tcW w:w="865" w:type="dxa"/>
            <w:vAlign w:val="center"/>
          </w:tcPr>
          <w:p w14:paraId="7673B35B" w14:textId="77777777" w:rsidR="002C3E10" w:rsidRPr="00DF32B6" w:rsidRDefault="002C3E10" w:rsidP="00896C4D">
            <w:pPr>
              <w:pStyle w:val="ListParagraph"/>
              <w:spacing w:after="80"/>
              <w:ind w:left="0"/>
              <w:contextualSpacing w:val="0"/>
              <w:jc w:val="center"/>
              <w:rPr>
                <w:rFonts w:ascii="Arial" w:hAnsi="Arial" w:cs="Arial"/>
              </w:rPr>
            </w:pPr>
          </w:p>
        </w:tc>
        <w:tc>
          <w:tcPr>
            <w:tcW w:w="3322" w:type="dxa"/>
            <w:vAlign w:val="center"/>
          </w:tcPr>
          <w:p w14:paraId="4FB4A6D0" w14:textId="77777777" w:rsidR="002C3E10" w:rsidRPr="00DF32B6" w:rsidRDefault="002C3E10" w:rsidP="00896C4D">
            <w:pPr>
              <w:pStyle w:val="ListParagraph"/>
              <w:spacing w:after="80"/>
              <w:ind w:left="0"/>
              <w:contextualSpacing w:val="0"/>
              <w:jc w:val="center"/>
              <w:rPr>
                <w:rFonts w:ascii="Arial" w:hAnsi="Arial" w:cs="Arial"/>
              </w:rPr>
            </w:pPr>
          </w:p>
        </w:tc>
      </w:tr>
      <w:tr w:rsidR="002C3E10" w:rsidRPr="00DF32B6" w14:paraId="7F107F97" w14:textId="77777777" w:rsidTr="00896C4D">
        <w:trPr>
          <w:cantSplit/>
          <w:jc w:val="center"/>
        </w:trPr>
        <w:tc>
          <w:tcPr>
            <w:tcW w:w="587" w:type="dxa"/>
            <w:vAlign w:val="center"/>
          </w:tcPr>
          <w:p w14:paraId="52BA8B61" w14:textId="77777777" w:rsidR="002C3E10" w:rsidRPr="00DF32B6" w:rsidRDefault="002C3E10" w:rsidP="00896C4D">
            <w:pPr>
              <w:pStyle w:val="ListParagraph"/>
              <w:spacing w:after="80"/>
              <w:ind w:left="0"/>
              <w:contextualSpacing w:val="0"/>
              <w:jc w:val="center"/>
              <w:rPr>
                <w:rFonts w:ascii="Arial" w:hAnsi="Arial" w:cs="Arial"/>
              </w:rPr>
            </w:pPr>
            <w:r>
              <w:rPr>
                <w:rFonts w:ascii="Arial" w:hAnsi="Arial" w:cs="Arial"/>
              </w:rPr>
              <w:t>19.</w:t>
            </w:r>
          </w:p>
        </w:tc>
        <w:tc>
          <w:tcPr>
            <w:tcW w:w="3612" w:type="dxa"/>
            <w:vAlign w:val="bottom"/>
          </w:tcPr>
          <w:p w14:paraId="5981E779" w14:textId="77777777" w:rsidR="002C3E10" w:rsidRDefault="002C3E10" w:rsidP="00896C4D">
            <w:pPr>
              <w:pStyle w:val="ListParagraph"/>
              <w:spacing w:after="80"/>
              <w:ind w:left="0"/>
              <w:contextualSpacing w:val="0"/>
              <w:rPr>
                <w:rFonts w:ascii="Arial" w:hAnsi="Arial" w:cs="Arial"/>
                <w:color w:val="000000"/>
              </w:rPr>
            </w:pPr>
            <w:r w:rsidRPr="001F7EEA">
              <w:rPr>
                <w:rFonts w:ascii="Arial" w:hAnsi="Arial" w:cs="Arial"/>
              </w:rPr>
              <w:t xml:space="preserve">Upgrade protection including </w:t>
            </w:r>
            <w:r>
              <w:rPr>
                <w:rFonts w:ascii="Arial" w:hAnsi="Arial" w:cs="Arial"/>
              </w:rPr>
              <w:t xml:space="preserve">signature updates, </w:t>
            </w:r>
            <w:r w:rsidRPr="001F7EEA">
              <w:rPr>
                <w:rFonts w:ascii="Arial" w:hAnsi="Arial" w:cs="Arial"/>
              </w:rPr>
              <w:t>patches and upgrades to m</w:t>
            </w:r>
            <w:r>
              <w:rPr>
                <w:rFonts w:ascii="Arial" w:hAnsi="Arial" w:cs="Arial"/>
              </w:rPr>
              <w:t>ajor releases as well for the full period of contract</w:t>
            </w:r>
          </w:p>
        </w:tc>
        <w:tc>
          <w:tcPr>
            <w:tcW w:w="856" w:type="dxa"/>
            <w:vAlign w:val="center"/>
          </w:tcPr>
          <w:p w14:paraId="6799E1A0" w14:textId="77777777" w:rsidR="002C3E10" w:rsidRPr="00DF32B6" w:rsidRDefault="002C3E10" w:rsidP="00896C4D">
            <w:pPr>
              <w:pStyle w:val="ListParagraph"/>
              <w:spacing w:after="80"/>
              <w:ind w:left="0"/>
              <w:contextualSpacing w:val="0"/>
              <w:jc w:val="center"/>
              <w:rPr>
                <w:rFonts w:ascii="Arial" w:eastAsia="MS Gothic" w:hAnsi="Arial" w:cs="Arial"/>
                <w:lang w:val="en-US"/>
              </w:rPr>
            </w:pPr>
          </w:p>
        </w:tc>
        <w:tc>
          <w:tcPr>
            <w:tcW w:w="865" w:type="dxa"/>
            <w:vAlign w:val="center"/>
          </w:tcPr>
          <w:p w14:paraId="15719AB5" w14:textId="77777777" w:rsidR="002C3E10" w:rsidRPr="00DF32B6" w:rsidRDefault="002C3E10" w:rsidP="00896C4D">
            <w:pPr>
              <w:pStyle w:val="ListParagraph"/>
              <w:spacing w:after="80"/>
              <w:ind w:left="0"/>
              <w:contextualSpacing w:val="0"/>
              <w:jc w:val="center"/>
              <w:rPr>
                <w:rFonts w:ascii="Arial" w:hAnsi="Arial" w:cs="Arial"/>
              </w:rPr>
            </w:pPr>
          </w:p>
        </w:tc>
        <w:tc>
          <w:tcPr>
            <w:tcW w:w="3322" w:type="dxa"/>
            <w:vAlign w:val="center"/>
          </w:tcPr>
          <w:p w14:paraId="4248D497" w14:textId="77777777" w:rsidR="002C3E10" w:rsidRDefault="002C3E10" w:rsidP="00896C4D">
            <w:pPr>
              <w:pStyle w:val="ListParagraph"/>
              <w:spacing w:after="80"/>
              <w:ind w:left="0"/>
              <w:contextualSpacing w:val="0"/>
              <w:jc w:val="center"/>
              <w:rPr>
                <w:rFonts w:ascii="Arial" w:hAnsi="Arial" w:cs="Arial"/>
              </w:rPr>
            </w:pPr>
          </w:p>
        </w:tc>
      </w:tr>
      <w:tr w:rsidR="002C3E10" w:rsidRPr="00DF32B6" w14:paraId="54A18C00" w14:textId="77777777" w:rsidTr="00896C4D">
        <w:trPr>
          <w:cantSplit/>
          <w:jc w:val="center"/>
        </w:trPr>
        <w:tc>
          <w:tcPr>
            <w:tcW w:w="587" w:type="dxa"/>
            <w:vAlign w:val="center"/>
          </w:tcPr>
          <w:p w14:paraId="36FBC2C9" w14:textId="77777777" w:rsidR="002C3E10" w:rsidRDefault="002C3E10" w:rsidP="00896C4D">
            <w:pPr>
              <w:pStyle w:val="ListParagraph"/>
              <w:spacing w:after="80"/>
              <w:ind w:left="0"/>
              <w:contextualSpacing w:val="0"/>
              <w:jc w:val="center"/>
              <w:rPr>
                <w:rFonts w:ascii="Arial" w:hAnsi="Arial" w:cs="Arial"/>
              </w:rPr>
            </w:pPr>
            <w:r>
              <w:rPr>
                <w:rFonts w:ascii="Arial" w:hAnsi="Arial" w:cs="Arial"/>
              </w:rPr>
              <w:t>20.</w:t>
            </w:r>
          </w:p>
        </w:tc>
        <w:tc>
          <w:tcPr>
            <w:tcW w:w="3612" w:type="dxa"/>
            <w:vAlign w:val="bottom"/>
          </w:tcPr>
          <w:p w14:paraId="736C6777" w14:textId="77777777" w:rsidR="002C3E10" w:rsidRPr="001F7EEA" w:rsidRDefault="002C3E10" w:rsidP="00896C4D">
            <w:pPr>
              <w:pStyle w:val="ListParagraph"/>
              <w:spacing w:after="80"/>
              <w:ind w:left="0"/>
              <w:contextualSpacing w:val="0"/>
              <w:rPr>
                <w:rFonts w:ascii="Arial" w:hAnsi="Arial" w:cs="Arial"/>
              </w:rPr>
            </w:pPr>
            <w:r>
              <w:rPr>
                <w:rFonts w:ascii="Arial" w:hAnsi="Arial" w:cs="Arial"/>
              </w:rPr>
              <w:t>Remote and on-site support, training and maintenance services on an as-requested basis for configuration, changes, reports and operational issues</w:t>
            </w:r>
          </w:p>
        </w:tc>
        <w:tc>
          <w:tcPr>
            <w:tcW w:w="856" w:type="dxa"/>
            <w:vAlign w:val="center"/>
          </w:tcPr>
          <w:p w14:paraId="20CA4741" w14:textId="77777777" w:rsidR="002C3E10" w:rsidRPr="00DF32B6" w:rsidRDefault="002C3E10" w:rsidP="00896C4D">
            <w:pPr>
              <w:pStyle w:val="ListParagraph"/>
              <w:spacing w:after="80"/>
              <w:ind w:left="0"/>
              <w:contextualSpacing w:val="0"/>
              <w:jc w:val="center"/>
              <w:rPr>
                <w:rFonts w:ascii="Arial" w:eastAsia="MS Gothic" w:hAnsi="Arial" w:cs="Arial"/>
                <w:lang w:val="en-US"/>
              </w:rPr>
            </w:pPr>
          </w:p>
        </w:tc>
        <w:tc>
          <w:tcPr>
            <w:tcW w:w="865" w:type="dxa"/>
            <w:vAlign w:val="center"/>
          </w:tcPr>
          <w:p w14:paraId="0B1C4861" w14:textId="77777777" w:rsidR="002C3E10" w:rsidRPr="00DF32B6" w:rsidRDefault="002C3E10" w:rsidP="00896C4D">
            <w:pPr>
              <w:pStyle w:val="ListParagraph"/>
              <w:spacing w:after="80"/>
              <w:ind w:left="0"/>
              <w:contextualSpacing w:val="0"/>
              <w:jc w:val="center"/>
              <w:rPr>
                <w:rFonts w:ascii="Arial" w:hAnsi="Arial" w:cs="Arial"/>
              </w:rPr>
            </w:pPr>
          </w:p>
        </w:tc>
        <w:tc>
          <w:tcPr>
            <w:tcW w:w="3322" w:type="dxa"/>
            <w:vAlign w:val="center"/>
          </w:tcPr>
          <w:p w14:paraId="57117AD1" w14:textId="77777777" w:rsidR="002C3E10" w:rsidRDefault="002C3E10" w:rsidP="00896C4D">
            <w:pPr>
              <w:pStyle w:val="ListParagraph"/>
              <w:spacing w:after="80"/>
              <w:ind w:left="0"/>
              <w:contextualSpacing w:val="0"/>
              <w:jc w:val="center"/>
              <w:rPr>
                <w:rFonts w:ascii="Arial" w:hAnsi="Arial" w:cs="Arial"/>
              </w:rPr>
            </w:pPr>
          </w:p>
        </w:tc>
      </w:tr>
    </w:tbl>
    <w:p w14:paraId="5484C14D" w14:textId="77777777" w:rsidR="002C3E10" w:rsidRPr="00A94B5F" w:rsidRDefault="002C3E10" w:rsidP="002C3E10">
      <w:pPr>
        <w:pStyle w:val="ListParagraph"/>
        <w:spacing w:after="80"/>
        <w:ind w:left="1080"/>
        <w:rPr>
          <w:rFonts w:ascii="Arial" w:hAnsi="Arial" w:cs="Arial"/>
          <w:b/>
        </w:rPr>
      </w:pPr>
    </w:p>
    <w:p w14:paraId="03F896FF" w14:textId="77777777" w:rsidR="002C3E10" w:rsidRPr="00A94B5F" w:rsidRDefault="002C3E10" w:rsidP="002C3E10">
      <w:pPr>
        <w:pStyle w:val="ListParagraph"/>
        <w:spacing w:after="80"/>
        <w:ind w:left="1080"/>
        <w:rPr>
          <w:rFonts w:ascii="Arial" w:hAnsi="Arial" w:cs="Arial"/>
          <w:b/>
        </w:rPr>
      </w:pPr>
    </w:p>
    <w:p w14:paraId="72C556F3" w14:textId="77777777" w:rsidR="002C3E10" w:rsidRPr="00A94B5F" w:rsidRDefault="002C3E10" w:rsidP="002C3E10">
      <w:pPr>
        <w:pStyle w:val="ListParagraph"/>
        <w:spacing w:after="80"/>
        <w:ind w:left="1080"/>
        <w:rPr>
          <w:rFonts w:ascii="Arial" w:hAnsi="Arial" w:cs="Arial"/>
          <w:b/>
        </w:rPr>
      </w:pPr>
    </w:p>
    <w:p w14:paraId="17A5AFD3" w14:textId="77777777" w:rsidR="002C3E10" w:rsidRPr="00A94B5F" w:rsidRDefault="002C3E10" w:rsidP="002C3E10">
      <w:pPr>
        <w:pStyle w:val="ListParagraph"/>
        <w:spacing w:after="80"/>
        <w:ind w:left="1080"/>
        <w:rPr>
          <w:rFonts w:ascii="Arial" w:hAnsi="Arial" w:cs="Arial"/>
          <w:b/>
        </w:rPr>
      </w:pPr>
    </w:p>
    <w:p w14:paraId="4A56FBC2" w14:textId="77777777" w:rsidR="002C3E10" w:rsidRPr="00A94B5F" w:rsidRDefault="002C3E10" w:rsidP="002C3E10">
      <w:pPr>
        <w:pStyle w:val="ListParagraph"/>
        <w:spacing w:after="80"/>
        <w:ind w:left="1080"/>
        <w:rPr>
          <w:rFonts w:ascii="Arial" w:hAnsi="Arial" w:cs="Arial"/>
          <w:b/>
        </w:rPr>
      </w:pPr>
    </w:p>
    <w:p w14:paraId="06050D9C" w14:textId="77777777" w:rsidR="002C3E10" w:rsidRPr="00A94B5F" w:rsidRDefault="002C3E10" w:rsidP="002C3E10">
      <w:pPr>
        <w:pStyle w:val="ListParagraph"/>
        <w:spacing w:after="80"/>
        <w:ind w:left="1080"/>
        <w:rPr>
          <w:rFonts w:ascii="Arial" w:hAnsi="Arial" w:cs="Arial"/>
          <w:b/>
        </w:rPr>
      </w:pPr>
    </w:p>
    <w:p w14:paraId="0AE7BBC5" w14:textId="77777777" w:rsidR="002C3E10" w:rsidRPr="00A94B5F" w:rsidRDefault="002C3E10" w:rsidP="002C3E10">
      <w:pPr>
        <w:pStyle w:val="ListParagraph"/>
        <w:spacing w:after="80"/>
        <w:ind w:left="1080"/>
        <w:rPr>
          <w:rFonts w:ascii="Arial" w:hAnsi="Arial" w:cs="Arial"/>
          <w:b/>
        </w:rPr>
      </w:pPr>
    </w:p>
    <w:p w14:paraId="771B1A7A" w14:textId="77777777" w:rsidR="002C3E10" w:rsidRPr="00A94B5F" w:rsidRDefault="002C3E10" w:rsidP="002C3E10">
      <w:pPr>
        <w:pStyle w:val="ListParagraph"/>
        <w:spacing w:after="80"/>
        <w:ind w:left="1080"/>
        <w:rPr>
          <w:rFonts w:ascii="Arial" w:hAnsi="Arial" w:cs="Arial"/>
          <w:b/>
        </w:rPr>
      </w:pPr>
    </w:p>
    <w:p w14:paraId="65D3B713" w14:textId="77777777" w:rsidR="002C3E10" w:rsidRPr="00A94B5F" w:rsidRDefault="002C3E10" w:rsidP="002C3E10">
      <w:pPr>
        <w:pStyle w:val="ListParagraph"/>
        <w:spacing w:after="80"/>
        <w:ind w:left="1080"/>
        <w:rPr>
          <w:rFonts w:ascii="Arial" w:hAnsi="Arial" w:cs="Arial"/>
          <w:b/>
        </w:rPr>
      </w:pPr>
    </w:p>
    <w:p w14:paraId="06233E61" w14:textId="77777777" w:rsidR="002C3E10" w:rsidRPr="00A94B5F" w:rsidRDefault="002C3E10" w:rsidP="002C3E10">
      <w:pPr>
        <w:pStyle w:val="ListParagraph"/>
        <w:spacing w:after="80"/>
        <w:ind w:left="1080"/>
        <w:rPr>
          <w:rFonts w:ascii="Arial" w:hAnsi="Arial" w:cs="Arial"/>
          <w:b/>
        </w:rPr>
      </w:pPr>
    </w:p>
    <w:p w14:paraId="111CC6FD" w14:textId="77777777" w:rsidR="00514C02" w:rsidRDefault="00514C02"/>
    <w:sectPr w:rsidR="00514C0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18217" w14:textId="77777777" w:rsidR="002C3E10" w:rsidRDefault="002C3E10" w:rsidP="002C3E10">
      <w:pPr>
        <w:spacing w:after="0"/>
      </w:pPr>
      <w:r>
        <w:separator/>
      </w:r>
    </w:p>
  </w:endnote>
  <w:endnote w:type="continuationSeparator" w:id="0">
    <w:p w14:paraId="0262FFE9" w14:textId="77777777" w:rsidR="002C3E10" w:rsidRDefault="002C3E10" w:rsidP="002C3E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0FFC3" w14:textId="77777777" w:rsidR="007E2398" w:rsidRDefault="007E23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2F8C3" w14:textId="77777777" w:rsidR="007E2398" w:rsidRDefault="007E23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1C6D3" w14:textId="77777777" w:rsidR="007E2398" w:rsidRDefault="007E2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A90C9" w14:textId="77777777" w:rsidR="002C3E10" w:rsidRDefault="002C3E10" w:rsidP="002C3E10">
      <w:pPr>
        <w:spacing w:after="0"/>
      </w:pPr>
      <w:r>
        <w:separator/>
      </w:r>
    </w:p>
  </w:footnote>
  <w:footnote w:type="continuationSeparator" w:id="0">
    <w:p w14:paraId="70AEDCBB" w14:textId="77777777" w:rsidR="002C3E10" w:rsidRDefault="002C3E10" w:rsidP="002C3E1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FE756" w14:textId="77777777" w:rsidR="007E2398" w:rsidRDefault="007E23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73317" w14:textId="77777777" w:rsidR="002C3E10" w:rsidRPr="00210160" w:rsidRDefault="002C3E10" w:rsidP="002C3E10">
    <w:pPr>
      <w:pStyle w:val="Header"/>
      <w:rPr>
        <w:i/>
      </w:rPr>
    </w:pPr>
    <w:r w:rsidRPr="00210160">
      <w:rPr>
        <w:i/>
        <w:sz w:val="20"/>
        <w:szCs w:val="20"/>
      </w:rPr>
      <w:t xml:space="preserve">Ref. </w:t>
    </w:r>
    <w:bookmarkStart w:id="0" w:name="_GoBack"/>
    <w:r w:rsidRPr="00210160">
      <w:rPr>
        <w:i/>
        <w:sz w:val="20"/>
        <w:szCs w:val="20"/>
      </w:rPr>
      <w:t xml:space="preserve">ITB/SEC/14/2018 – </w:t>
    </w:r>
    <w:r w:rsidRPr="002C3E10">
      <w:rPr>
        <w:i/>
        <w:sz w:val="20"/>
        <w:szCs w:val="20"/>
      </w:rPr>
      <w:t>Annex D – Technical Compliance Form</w:t>
    </w:r>
    <w:bookmarkEnd w:id="0"/>
  </w:p>
  <w:p w14:paraId="4D4FBD17" w14:textId="77777777" w:rsidR="002C3E10" w:rsidRDefault="002C3E10">
    <w:pPr>
      <w:pStyle w:val="Header"/>
    </w:pPr>
  </w:p>
  <w:p w14:paraId="0715FCFE" w14:textId="77777777" w:rsidR="002C3E10" w:rsidRDefault="002C3E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4FA64" w14:textId="77777777" w:rsidR="007E2398" w:rsidRDefault="007E23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E10"/>
    <w:rsid w:val="002C3E10"/>
    <w:rsid w:val="00514C02"/>
    <w:rsid w:val="007E2398"/>
    <w:rsid w:val="00AD3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E10"/>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E10"/>
    <w:pPr>
      <w:ind w:left="720"/>
      <w:contextualSpacing/>
    </w:pPr>
  </w:style>
  <w:style w:type="table" w:styleId="TableGrid">
    <w:name w:val="Table Grid"/>
    <w:basedOn w:val="TableNormal"/>
    <w:rsid w:val="002C3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3E10"/>
    <w:pPr>
      <w:tabs>
        <w:tab w:val="center" w:pos="4513"/>
        <w:tab w:val="right" w:pos="9026"/>
      </w:tabs>
      <w:spacing w:after="0"/>
    </w:pPr>
  </w:style>
  <w:style w:type="character" w:customStyle="1" w:styleId="HeaderChar">
    <w:name w:val="Header Char"/>
    <w:basedOn w:val="DefaultParagraphFont"/>
    <w:link w:val="Header"/>
    <w:uiPriority w:val="99"/>
    <w:rsid w:val="002C3E10"/>
  </w:style>
  <w:style w:type="paragraph" w:styleId="Footer">
    <w:name w:val="footer"/>
    <w:basedOn w:val="Normal"/>
    <w:link w:val="FooterChar"/>
    <w:uiPriority w:val="99"/>
    <w:unhideWhenUsed/>
    <w:rsid w:val="002C3E10"/>
    <w:pPr>
      <w:tabs>
        <w:tab w:val="center" w:pos="4513"/>
        <w:tab w:val="right" w:pos="9026"/>
      </w:tabs>
      <w:spacing w:after="0"/>
    </w:pPr>
  </w:style>
  <w:style w:type="character" w:customStyle="1" w:styleId="FooterChar">
    <w:name w:val="Footer Char"/>
    <w:basedOn w:val="DefaultParagraphFont"/>
    <w:link w:val="Footer"/>
    <w:uiPriority w:val="99"/>
    <w:rsid w:val="002C3E10"/>
  </w:style>
  <w:style w:type="paragraph" w:styleId="BalloonText">
    <w:name w:val="Balloon Text"/>
    <w:basedOn w:val="Normal"/>
    <w:link w:val="BalloonTextChar"/>
    <w:uiPriority w:val="99"/>
    <w:semiHidden/>
    <w:unhideWhenUsed/>
    <w:rsid w:val="002C3E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E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E10"/>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E10"/>
    <w:pPr>
      <w:ind w:left="720"/>
      <w:contextualSpacing/>
    </w:pPr>
  </w:style>
  <w:style w:type="table" w:styleId="TableGrid">
    <w:name w:val="Table Grid"/>
    <w:basedOn w:val="TableNormal"/>
    <w:rsid w:val="002C3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3E10"/>
    <w:pPr>
      <w:tabs>
        <w:tab w:val="center" w:pos="4513"/>
        <w:tab w:val="right" w:pos="9026"/>
      </w:tabs>
      <w:spacing w:after="0"/>
    </w:pPr>
  </w:style>
  <w:style w:type="character" w:customStyle="1" w:styleId="HeaderChar">
    <w:name w:val="Header Char"/>
    <w:basedOn w:val="DefaultParagraphFont"/>
    <w:link w:val="Header"/>
    <w:uiPriority w:val="99"/>
    <w:rsid w:val="002C3E10"/>
  </w:style>
  <w:style w:type="paragraph" w:styleId="Footer">
    <w:name w:val="footer"/>
    <w:basedOn w:val="Normal"/>
    <w:link w:val="FooterChar"/>
    <w:uiPriority w:val="99"/>
    <w:unhideWhenUsed/>
    <w:rsid w:val="002C3E10"/>
    <w:pPr>
      <w:tabs>
        <w:tab w:val="center" w:pos="4513"/>
        <w:tab w:val="right" w:pos="9026"/>
      </w:tabs>
      <w:spacing w:after="0"/>
    </w:pPr>
  </w:style>
  <w:style w:type="character" w:customStyle="1" w:styleId="FooterChar">
    <w:name w:val="Footer Char"/>
    <w:basedOn w:val="DefaultParagraphFont"/>
    <w:link w:val="Footer"/>
    <w:uiPriority w:val="99"/>
    <w:rsid w:val="002C3E10"/>
  </w:style>
  <w:style w:type="paragraph" w:styleId="BalloonText">
    <w:name w:val="Balloon Text"/>
    <w:basedOn w:val="Normal"/>
    <w:link w:val="BalloonTextChar"/>
    <w:uiPriority w:val="99"/>
    <w:semiHidden/>
    <w:unhideWhenUsed/>
    <w:rsid w:val="002C3E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E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17AB8275E3F3A647966803DEDAB4D42B" ma:contentTypeVersion="6" ma:contentTypeDescription="OSCE Standard Document" ma:contentTypeScope="" ma:versionID="070c3a6ec2ba502869a8f9cc6cb3ba4e">
  <xsd:schema xmlns:xsd="http://www.w3.org/2001/XMLSchema" xmlns:xs="http://www.w3.org/2001/XMLSchema" xmlns:p="http://schemas.microsoft.com/office/2006/metadata/properties" xmlns:ns2="1fc8b376-a36e-41c2-b0ec-ba8a570258d0" xmlns:ns3="8ae9e4b5-a25c-480e-bd4a-637337fa20a2" targetNamespace="http://schemas.microsoft.com/office/2006/metadata/properties" ma:root="true" ma:fieldsID="def4a08ddf4c8b08dad259ccb0b29393" ns2:_="" ns3:_="">
    <xsd:import namespace="1fc8b376-a36e-41c2-b0ec-ba8a570258d0"/>
    <xsd:import namespace="8ae9e4b5-a25c-480e-bd4a-637337fa20a2"/>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b376-a36e-41c2-b0ec-ba8a570258d0"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dLL xmlns="1fc8b376-a36e-41c2-b0ec-ba8a570258d0">0</idLL>
    <IsObsolete xmlns="1fc8b376-a36e-41c2-b0ec-ba8a570258d0" xsi:nil="true"/>
    <IsClosed xmlns="1fc8b376-a36e-41c2-b0ec-ba8a570258d0" xsi:nil="true"/>
    <ActionsPending xmlns="1fc8b376-a36e-41c2-b0ec-ba8a570258d0" xsi:nil="true"/>
    <IsRecord xmlns="1fc8b376-a36e-41c2-b0ec-ba8a570258d0" xsi:nil="true"/>
    <LastMajorVersionID xmlns="1fc8b376-a36e-41c2-b0ec-ba8a570258d0" xsi:nil="true"/>
    <_dlc_DocId xmlns="8ae9e4b5-a25c-480e-bd4a-637337fa20a2">SECPCU-816831299-4656</_dlc_DocId>
    <_dlc_DocIdUrl xmlns="8ae9e4b5-a25c-480e-bd4a-637337fa20a2">
      <Url>https://jarvis.osce.org/sites/sec_pcu/drm/_layouts/15/DocIdRedir.aspx?ID=SECPCU-816831299-4656</Url>
      <Description>SECPCU-816831299-4656</Description>
    </_dlc_DocIdUrl>
  </documentManagement>
</p:properties>
</file>

<file path=customXml/itemProps1.xml><?xml version="1.0" encoding="utf-8"?>
<ds:datastoreItem xmlns:ds="http://schemas.openxmlformats.org/officeDocument/2006/customXml" ds:itemID="{287FA38C-8521-4AF4-A366-AA88DAFDB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8b376-a36e-41c2-b0ec-ba8a570258d0"/>
    <ds:schemaRef ds:uri="8ae9e4b5-a25c-480e-bd4a-637337fa2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F48-1F07-4BE8-9C31-54C3125BB365}">
  <ds:schemaRefs>
    <ds:schemaRef ds:uri="http://schemas.microsoft.com/sharepoint/events"/>
  </ds:schemaRefs>
</ds:datastoreItem>
</file>

<file path=customXml/itemProps3.xml><?xml version="1.0" encoding="utf-8"?>
<ds:datastoreItem xmlns:ds="http://schemas.openxmlformats.org/officeDocument/2006/customXml" ds:itemID="{B1C46820-189C-4AD2-8CFA-C3886558E4B7}">
  <ds:schemaRefs>
    <ds:schemaRef ds:uri="http://schemas.microsoft.com/sharepoint/v3/contenttype/forms"/>
  </ds:schemaRefs>
</ds:datastoreItem>
</file>

<file path=customXml/itemProps4.xml><?xml version="1.0" encoding="utf-8"?>
<ds:datastoreItem xmlns:ds="http://schemas.openxmlformats.org/officeDocument/2006/customXml" ds:itemID="{1899D24C-6076-4D27-A44A-364F5CE24D08}">
  <ds:schemaRefs>
    <ds:schemaRef ds:uri="8ae9e4b5-a25c-480e-bd4a-637337fa20a2"/>
    <ds:schemaRef ds:uri="http://purl.org/dc/elements/1.1/"/>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1fc8b376-a36e-41c2-b0ec-ba8a570258d0"/>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Yury Golovkov</dc:creator>
  <cp:lastModifiedBy>Yury Golovkov</cp:lastModifiedBy>
  <cp:revision>1</cp:revision>
  <dcterms:created xsi:type="dcterms:W3CDTF">2018-07-27T07:23:00Z</dcterms:created>
  <dcterms:modified xsi:type="dcterms:W3CDTF">2018-07-27T08:04:00Z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0x010100B61FC88BBA394FB1902A96B76170DF590081F31D61B3F34B87AE5ACEA58FB5B51B0017AB8275E3F3A647966803DEDAB4D42B</vt:lpwstr>
  </property>
  <property fmtid="{D5CDD505-2E9C-101B-9397-08002B2CF9AE}" pid="3" name="_dlc_DocIdItemGuid">
    <vt:lpwstr>5d957248-c21c-44d8-99b3-b2979331f7e2</vt:lpwstr>
  </property>
</Properties>
</file>