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9B56B" w14:textId="77777777" w:rsidR="009410CD" w:rsidRPr="009410CD" w:rsidRDefault="00054FBB" w:rsidP="00F04AD0">
      <w:pPr>
        <w:jc w:val="center"/>
        <w:rPr>
          <w:b/>
          <w:lang w:val="uk-UA"/>
        </w:rPr>
      </w:pPr>
      <w:bookmarkStart w:id="0" w:name="_GoBack"/>
      <w:bookmarkEnd w:id="0"/>
      <w:r>
        <w:rPr>
          <w:b/>
          <w:lang w:val="en-US"/>
        </w:rPr>
        <w:t>Questions and answers</w:t>
      </w:r>
      <w:r w:rsidR="00FC0482">
        <w:rPr>
          <w:b/>
          <w:lang w:val="uk-UA"/>
        </w:rPr>
        <w:t xml:space="preserve"> </w:t>
      </w:r>
    </w:p>
    <w:p w14:paraId="0831B8C5" w14:textId="77777777" w:rsidR="002D70E9" w:rsidRDefault="002D70E9" w:rsidP="002D70E9">
      <w:pPr>
        <w:rPr>
          <w:b/>
        </w:rPr>
      </w:pPr>
      <w:r w:rsidRPr="002D70E9">
        <w:rPr>
          <w:b/>
        </w:rPr>
        <w:t>RFQ/SMM/112/2019</w:t>
      </w:r>
      <w:r>
        <w:rPr>
          <w:lang w:val="en-US" w:eastAsia="en-GB"/>
        </w:rPr>
        <w:t xml:space="preserve"> </w:t>
      </w:r>
      <w:r>
        <w:rPr>
          <w:b/>
        </w:rPr>
        <w:t>Supply of gas detectors for the</w:t>
      </w:r>
      <w:r>
        <w:rPr>
          <w:b/>
          <w:lang w:val="uk-UA"/>
        </w:rPr>
        <w:t xml:space="preserve"> OSCE </w:t>
      </w:r>
      <w:r>
        <w:rPr>
          <w:b/>
        </w:rPr>
        <w:t>Special</w:t>
      </w:r>
      <w:r>
        <w:rPr>
          <w:b/>
          <w:lang w:val="uk-UA"/>
        </w:rPr>
        <w:t xml:space="preserve"> </w:t>
      </w:r>
      <w:r>
        <w:rPr>
          <w:b/>
        </w:rPr>
        <w:t>Moni</w:t>
      </w:r>
      <w:r w:rsidR="00B44127">
        <w:rPr>
          <w:b/>
        </w:rPr>
        <w:t>toring Mission to Ukraine (SMM)</w:t>
      </w:r>
    </w:p>
    <w:p w14:paraId="768A0A72" w14:textId="77777777" w:rsidR="00054FBB" w:rsidRPr="002D70E9" w:rsidRDefault="00054FBB" w:rsidP="008316DD">
      <w:pPr>
        <w:shd w:val="clear" w:color="auto" w:fill="FFFFFF"/>
        <w:jc w:val="both"/>
        <w:rPr>
          <w:b/>
        </w:rPr>
      </w:pPr>
    </w:p>
    <w:tbl>
      <w:tblPr>
        <w:tblStyle w:val="TableGrid"/>
        <w:tblW w:w="0" w:type="auto"/>
        <w:tblLayout w:type="fixed"/>
        <w:tblLook w:val="04A0" w:firstRow="1" w:lastRow="0" w:firstColumn="1" w:lastColumn="0" w:noHBand="0" w:noVBand="1"/>
      </w:tblPr>
      <w:tblGrid>
        <w:gridCol w:w="498"/>
        <w:gridCol w:w="4855"/>
        <w:gridCol w:w="8647"/>
      </w:tblGrid>
      <w:tr w:rsidR="00F04AD0" w:rsidRPr="00F04AD0" w14:paraId="380A70FD" w14:textId="77777777" w:rsidTr="00054FBB">
        <w:tc>
          <w:tcPr>
            <w:tcW w:w="498" w:type="dxa"/>
          </w:tcPr>
          <w:p w14:paraId="28BFB00D" w14:textId="77777777" w:rsidR="00F04AD0" w:rsidRPr="00F04AD0" w:rsidRDefault="00F04AD0" w:rsidP="00F04AD0">
            <w:pPr>
              <w:spacing w:after="200" w:line="276" w:lineRule="auto"/>
              <w:rPr>
                <w:b/>
                <w:lang w:val="en-US"/>
              </w:rPr>
            </w:pPr>
            <w:r w:rsidRPr="00F04AD0">
              <w:rPr>
                <w:b/>
                <w:lang w:val="en-US"/>
              </w:rPr>
              <w:t>No</w:t>
            </w:r>
          </w:p>
        </w:tc>
        <w:tc>
          <w:tcPr>
            <w:tcW w:w="4855" w:type="dxa"/>
          </w:tcPr>
          <w:p w14:paraId="5CD1A748" w14:textId="77777777" w:rsidR="00F04AD0" w:rsidRPr="002D70E9" w:rsidRDefault="00054FBB" w:rsidP="00F04AD0">
            <w:pPr>
              <w:spacing w:after="200" w:line="276" w:lineRule="auto"/>
              <w:rPr>
                <w:b/>
                <w:lang w:val="en-US"/>
              </w:rPr>
            </w:pPr>
            <w:r>
              <w:rPr>
                <w:b/>
                <w:lang w:val="en-US"/>
              </w:rPr>
              <w:t>Question</w:t>
            </w:r>
          </w:p>
        </w:tc>
        <w:tc>
          <w:tcPr>
            <w:tcW w:w="8647" w:type="dxa"/>
          </w:tcPr>
          <w:p w14:paraId="720B56B6" w14:textId="77777777" w:rsidR="00F04AD0" w:rsidRPr="00F04AD0" w:rsidRDefault="00054FBB" w:rsidP="00054FBB">
            <w:pPr>
              <w:spacing w:after="200" w:line="276" w:lineRule="auto"/>
              <w:rPr>
                <w:b/>
                <w:lang w:val="en-US"/>
              </w:rPr>
            </w:pPr>
            <w:r>
              <w:rPr>
                <w:b/>
                <w:lang w:val="en-US"/>
              </w:rPr>
              <w:t>Answer</w:t>
            </w:r>
          </w:p>
        </w:tc>
      </w:tr>
      <w:tr w:rsidR="00F04AD0" w:rsidRPr="00F24921" w14:paraId="7577CE5A" w14:textId="77777777" w:rsidTr="002D70E9">
        <w:trPr>
          <w:trHeight w:val="360"/>
        </w:trPr>
        <w:tc>
          <w:tcPr>
            <w:tcW w:w="498" w:type="dxa"/>
          </w:tcPr>
          <w:p w14:paraId="039D70E8" w14:textId="77777777" w:rsidR="00F04AD0" w:rsidRPr="00F04AD0" w:rsidRDefault="00F04AD0" w:rsidP="00F04AD0">
            <w:pPr>
              <w:spacing w:after="200" w:line="276" w:lineRule="auto"/>
              <w:rPr>
                <w:lang w:val="en-US"/>
              </w:rPr>
            </w:pPr>
            <w:r w:rsidRPr="00F04AD0">
              <w:rPr>
                <w:lang w:val="en-US"/>
              </w:rPr>
              <w:t>1</w:t>
            </w:r>
          </w:p>
        </w:tc>
        <w:tc>
          <w:tcPr>
            <w:tcW w:w="4855" w:type="dxa"/>
          </w:tcPr>
          <w:p w14:paraId="4A012356" w14:textId="77777777" w:rsidR="002D70E9" w:rsidRDefault="002D70E9" w:rsidP="002D70E9">
            <w:r w:rsidRPr="00B44127">
              <w:t>The devices can detect toxic and combustible gases but at least O2, CO, NO2, SO2, H2S, CH4 and C3H8 (explosive gases), CO2, Cl2, HCN, NH3, NO, PH3 ,C6H6 (Benzene) and gases detected by PID and IR.</w:t>
            </w:r>
          </w:p>
          <w:p w14:paraId="28B576C8" w14:textId="77777777" w:rsidR="002D70E9" w:rsidRDefault="002D70E9" w:rsidP="002D70E9">
            <w:r w:rsidRPr="00B44127">
              <w:t> </w:t>
            </w:r>
          </w:p>
          <w:p w14:paraId="549A96A5" w14:textId="77777777" w:rsidR="002D70E9" w:rsidRDefault="002D70E9" w:rsidP="002D70E9">
            <w:r w:rsidRPr="00B44127">
              <w:rPr>
                <w:highlight w:val="yellow"/>
              </w:rPr>
              <w:t xml:space="preserve">Main gases to </w:t>
            </w:r>
            <w:proofErr w:type="gramStart"/>
            <w:r w:rsidRPr="00B44127">
              <w:rPr>
                <w:highlight w:val="yellow"/>
              </w:rPr>
              <w:t>be detected</w:t>
            </w:r>
            <w:proofErr w:type="gramEnd"/>
            <w:r w:rsidRPr="00B44127">
              <w:rPr>
                <w:highlight w:val="yellow"/>
              </w:rPr>
              <w:t xml:space="preserve"> for stationary device – methane, ammonia NH3, chlorine CI, carbon oxide CO. For portable devices - methane, propane, ammonia NH3, chlorine CI, carbon oxide CO, arsine AsH3, nitrogen dioxide NO2, hydrogen cyanide HCN, hydrogen chloride </w:t>
            </w:r>
            <w:proofErr w:type="spellStart"/>
            <w:r w:rsidRPr="00B44127">
              <w:rPr>
                <w:highlight w:val="yellow"/>
              </w:rPr>
              <w:t>HCl</w:t>
            </w:r>
            <w:proofErr w:type="spellEnd"/>
          </w:p>
          <w:p w14:paraId="4992166D" w14:textId="77777777" w:rsidR="002D70E9" w:rsidRDefault="002D70E9" w:rsidP="002D70E9">
            <w:r w:rsidRPr="00B44127">
              <w:t> </w:t>
            </w:r>
          </w:p>
          <w:p w14:paraId="04732F50" w14:textId="77777777" w:rsidR="002D70E9" w:rsidRPr="00B44127" w:rsidRDefault="00F72868" w:rsidP="00F72868">
            <w:r>
              <w:t>We</w:t>
            </w:r>
            <w:r w:rsidR="002D70E9" w:rsidRPr="00B44127">
              <w:t xml:space="preserve"> understand the security impl</w:t>
            </w:r>
            <w:r>
              <w:t>ications for parameter settings</w:t>
            </w:r>
            <w:r w:rsidR="002D70E9" w:rsidRPr="00B44127">
              <w:t>, but it seems everyone needs to know which gas -</w:t>
            </w:r>
            <w:r>
              <w:t xml:space="preserve"> </w:t>
            </w:r>
            <w:r w:rsidR="002D70E9" w:rsidRPr="00B44127">
              <w:t xml:space="preserve">we will provide as many as possible in a </w:t>
            </w:r>
            <w:proofErr w:type="gramStart"/>
            <w:r w:rsidR="002D70E9" w:rsidRPr="00B44127">
              <w:t>best fit</w:t>
            </w:r>
            <w:proofErr w:type="gramEnd"/>
            <w:r w:rsidR="002D70E9" w:rsidRPr="00B44127">
              <w:t xml:space="preserve"> solution</w:t>
            </w:r>
            <w:r>
              <w:t>.</w:t>
            </w:r>
          </w:p>
        </w:tc>
        <w:tc>
          <w:tcPr>
            <w:tcW w:w="8647" w:type="dxa"/>
          </w:tcPr>
          <w:p w14:paraId="51EAD020" w14:textId="77777777" w:rsidR="002D70E9" w:rsidRDefault="002D70E9" w:rsidP="002D70E9">
            <w:r w:rsidRPr="002D70E9">
              <w:rPr>
                <w:b/>
                <w:bCs/>
              </w:rPr>
              <w:t xml:space="preserve">Main gases to be detected: </w:t>
            </w:r>
            <w:r w:rsidRPr="002D70E9">
              <w:rPr>
                <w:u w:val="single"/>
              </w:rPr>
              <w:t>for stationary device</w:t>
            </w:r>
            <w:r>
              <w:t xml:space="preserve"> – methane, ammonia NH3, chlorine CI, carbon oxide CO, formaldehyde CH2O, phenol C6H6O; </w:t>
            </w:r>
            <w:r w:rsidRPr="002D70E9">
              <w:rPr>
                <w:u w:val="single"/>
              </w:rPr>
              <w:t>for portable device</w:t>
            </w:r>
            <w:r>
              <w:t xml:space="preserve"> - methane, propane, ammonia NH3, chlorine CI, carbon oxide CO, arsine AsH3, nitrogen dioxide NO2, hydrogen cyanide HCN, hydrogen chloride </w:t>
            </w:r>
            <w:proofErr w:type="spellStart"/>
            <w:r>
              <w:t>HCl</w:t>
            </w:r>
            <w:proofErr w:type="spellEnd"/>
            <w:r>
              <w:t xml:space="preserve">, formaldehyde CH2O, phenol C6H6O. Please use this information as main guidance. </w:t>
            </w:r>
          </w:p>
          <w:p w14:paraId="383F4114" w14:textId="77777777" w:rsidR="002D70E9" w:rsidRDefault="002D70E9" w:rsidP="002D70E9">
            <w:pPr>
              <w:pStyle w:val="ListParagraph"/>
            </w:pPr>
          </w:p>
          <w:p w14:paraId="6DB073DB" w14:textId="77777777" w:rsidR="002D70E9" w:rsidRDefault="002D70E9" w:rsidP="002D70E9"/>
          <w:p w14:paraId="25597F5D" w14:textId="77777777" w:rsidR="00F24921" w:rsidRPr="00F24921" w:rsidRDefault="00F24921" w:rsidP="002D70E9">
            <w:pPr>
              <w:pStyle w:val="ListParagraph"/>
            </w:pPr>
          </w:p>
        </w:tc>
      </w:tr>
      <w:tr w:rsidR="002D70E9" w:rsidRPr="00F24921" w14:paraId="004C8896" w14:textId="77777777" w:rsidTr="002D70E9">
        <w:trPr>
          <w:trHeight w:val="285"/>
        </w:trPr>
        <w:tc>
          <w:tcPr>
            <w:tcW w:w="498" w:type="dxa"/>
          </w:tcPr>
          <w:p w14:paraId="10343C0C" w14:textId="77777777" w:rsidR="002D70E9" w:rsidRPr="00F04AD0" w:rsidRDefault="002D70E9" w:rsidP="00F04AD0">
            <w:pPr>
              <w:spacing w:after="200" w:line="276" w:lineRule="auto"/>
              <w:rPr>
                <w:lang w:val="en-US"/>
              </w:rPr>
            </w:pPr>
            <w:r>
              <w:rPr>
                <w:lang w:val="en-US"/>
              </w:rPr>
              <w:t>2</w:t>
            </w:r>
          </w:p>
        </w:tc>
        <w:tc>
          <w:tcPr>
            <w:tcW w:w="4855" w:type="dxa"/>
          </w:tcPr>
          <w:p w14:paraId="3EF05AD2" w14:textId="77777777" w:rsidR="0028596A" w:rsidRDefault="0028596A" w:rsidP="0028596A">
            <w:r w:rsidRPr="0028596A">
              <w:t>You should be aware</w:t>
            </w:r>
            <w:r w:rsidR="00B44127">
              <w:t xml:space="preserve"> </w:t>
            </w:r>
            <w:r w:rsidRPr="0028596A">
              <w:t>(if no</w:t>
            </w:r>
            <w:r w:rsidR="00F72868">
              <w:t>t already)</w:t>
            </w:r>
            <w:r w:rsidRPr="0028596A">
              <w:t xml:space="preserve"> know that in fixed detection, we need to get one detector per gas and each of them has to </w:t>
            </w:r>
            <w:proofErr w:type="gramStart"/>
            <w:r w:rsidRPr="0028596A">
              <w:t>be connected</w:t>
            </w:r>
            <w:proofErr w:type="gramEnd"/>
            <w:r w:rsidRPr="0028596A">
              <w:t xml:space="preserve"> to a controller.</w:t>
            </w:r>
          </w:p>
          <w:p w14:paraId="25D9088D" w14:textId="77777777" w:rsidR="0028596A" w:rsidRDefault="0028596A" w:rsidP="0028596A">
            <w:r w:rsidRPr="0028596A">
              <w:t xml:space="preserve">The fixed detectors can potentially support some bad weather (from -20°C to </w:t>
            </w:r>
            <w:proofErr w:type="gramStart"/>
            <w:r w:rsidRPr="0028596A">
              <w:t>+40°C</w:t>
            </w:r>
            <w:proofErr w:type="gramEnd"/>
            <w:r w:rsidRPr="0028596A">
              <w:t xml:space="preserve">) but this is not the case of the controller that will have to be situated inside. </w:t>
            </w:r>
          </w:p>
          <w:p w14:paraId="1229D008" w14:textId="77777777" w:rsidR="0028596A" w:rsidRDefault="0028596A" w:rsidP="0028596A">
            <w:r w:rsidRPr="0028596A">
              <w:lastRenderedPageBreak/>
              <w:t>The model of the controller depends on the number of detector you will need to connect.</w:t>
            </w:r>
          </w:p>
          <w:p w14:paraId="691E8F55" w14:textId="77777777" w:rsidR="0028596A" w:rsidRDefault="0028596A" w:rsidP="0028596A">
            <w:r w:rsidRPr="0028596A">
              <w:t>So when you write you need 8 detectors, are yo</w:t>
            </w:r>
            <w:r w:rsidR="00E07ECF">
              <w:t>u requiring 8 detectors per gas</w:t>
            </w:r>
            <w:r w:rsidRPr="0028596A">
              <w:t xml:space="preserve">?           </w:t>
            </w:r>
          </w:p>
          <w:p w14:paraId="546D9435" w14:textId="77777777" w:rsidR="002D70E9" w:rsidRPr="0028596A" w:rsidRDefault="0028596A" w:rsidP="0028596A">
            <w:proofErr w:type="gramStart"/>
            <w:r w:rsidRPr="0028596A">
              <w:t>if</w:t>
            </w:r>
            <w:proofErr w:type="gramEnd"/>
            <w:r w:rsidRPr="0028596A">
              <w:t xml:space="preserve"> not please clarify how many detectors you need for each gas.</w:t>
            </w:r>
            <w:r w:rsidR="00E07ECF">
              <w:t xml:space="preserve"> We assume 1 detector per 1 gas</w:t>
            </w:r>
            <w:r>
              <w:t>,</w:t>
            </w:r>
            <w:r w:rsidR="00E07ECF">
              <w:t xml:space="preserve"> </w:t>
            </w:r>
            <w:r>
              <w:t xml:space="preserve">or 1 detector for multiple gasses if possible - does OSCE </w:t>
            </w:r>
            <w:proofErr w:type="gramStart"/>
            <w:r>
              <w:t>agree ?</w:t>
            </w:r>
            <w:proofErr w:type="gramEnd"/>
          </w:p>
        </w:tc>
        <w:tc>
          <w:tcPr>
            <w:tcW w:w="8647" w:type="dxa"/>
          </w:tcPr>
          <w:p w14:paraId="0ADB976A" w14:textId="77777777" w:rsidR="002D70E9" w:rsidRDefault="002D70E9" w:rsidP="002D70E9">
            <w:r w:rsidRPr="002D70E9">
              <w:rPr>
                <w:b/>
                <w:bCs/>
              </w:rPr>
              <w:lastRenderedPageBreak/>
              <w:t>Fixed</w:t>
            </w:r>
            <w:r>
              <w:t xml:space="preserve"> </w:t>
            </w:r>
            <w:r w:rsidRPr="002D70E9">
              <w:rPr>
                <w:b/>
                <w:bCs/>
              </w:rPr>
              <w:t>scenario</w:t>
            </w:r>
            <w:r>
              <w:t xml:space="preserve"> – 1 detector for multiple gases if possible. If not possible for fixed devices, then 1 detector per each gas stipulated in para.1. “</w:t>
            </w:r>
            <w:r w:rsidRPr="002D70E9">
              <w:rPr>
                <w:color w:val="1F497D"/>
              </w:rPr>
              <w:t xml:space="preserve">The model of the controller depends on the number of detector you will need to connect.” </w:t>
            </w:r>
            <w:r>
              <w:t xml:space="preserve">– </w:t>
            </w:r>
            <w:proofErr w:type="gramStart"/>
            <w:r>
              <w:t>we</w:t>
            </w:r>
            <w:proofErr w:type="gramEnd"/>
            <w:r>
              <w:t xml:space="preserve"> need the detectors for all the above gases specified for stationary device, meaning that the controller will have to be connected to all required detectors.</w:t>
            </w:r>
          </w:p>
          <w:p w14:paraId="254C6F0A" w14:textId="77777777" w:rsidR="002D70E9" w:rsidRDefault="002D70E9" w:rsidP="001F4204">
            <w:pPr>
              <w:spacing w:after="200" w:line="276" w:lineRule="auto"/>
              <w:rPr>
                <w:lang w:val="en-US"/>
              </w:rPr>
            </w:pPr>
          </w:p>
        </w:tc>
      </w:tr>
      <w:tr w:rsidR="002D70E9" w:rsidRPr="00F24921" w14:paraId="0825D558" w14:textId="77777777" w:rsidTr="002D70E9">
        <w:trPr>
          <w:trHeight w:val="525"/>
        </w:trPr>
        <w:tc>
          <w:tcPr>
            <w:tcW w:w="498" w:type="dxa"/>
          </w:tcPr>
          <w:p w14:paraId="13208D94" w14:textId="77777777" w:rsidR="002D70E9" w:rsidRPr="00F04AD0" w:rsidRDefault="002D70E9" w:rsidP="00F04AD0">
            <w:pPr>
              <w:rPr>
                <w:lang w:val="en-US"/>
              </w:rPr>
            </w:pPr>
            <w:r>
              <w:rPr>
                <w:lang w:val="en-US"/>
              </w:rPr>
              <w:t>3</w:t>
            </w:r>
          </w:p>
        </w:tc>
        <w:tc>
          <w:tcPr>
            <w:tcW w:w="4855" w:type="dxa"/>
          </w:tcPr>
          <w:p w14:paraId="62E42B40" w14:textId="77777777" w:rsidR="002D70E9" w:rsidRPr="00B44127" w:rsidRDefault="0028596A" w:rsidP="00E07ECF">
            <w:r w:rsidRPr="00B44127">
              <w:t xml:space="preserve">Same question for the portable </w:t>
            </w:r>
            <w:r w:rsidR="00B44127" w:rsidRPr="00B44127">
              <w:t>devices:</w:t>
            </w:r>
            <w:r w:rsidRPr="00B44127">
              <w:t xml:space="preserve"> </w:t>
            </w:r>
            <w:proofErr w:type="gramStart"/>
            <w:r w:rsidRPr="00B44127">
              <w:t>providing you with multi gas detectors is possible but do you</w:t>
            </w:r>
            <w:proofErr w:type="gramEnd"/>
            <w:r w:rsidRPr="00B44127">
              <w:t xml:space="preserve"> need 2 detectors for the whole gases or</w:t>
            </w:r>
            <w:r>
              <w:rPr>
                <w:color w:val="1F497D"/>
              </w:rPr>
              <w:t xml:space="preserve"> </w:t>
            </w:r>
            <w:r>
              <w:rPr>
                <w:u w:val="single"/>
              </w:rPr>
              <w:t>each gas have to be detected by 2 devices</w:t>
            </w:r>
            <w:r>
              <w:rPr>
                <w:color w:val="1F497D"/>
              </w:rPr>
              <w:t>?</w:t>
            </w:r>
            <w:r>
              <w:t xml:space="preserve"> </w:t>
            </w:r>
            <w:r w:rsidR="00B44127">
              <w:t>Does OSCE agree</w:t>
            </w:r>
            <w:r>
              <w:t>?</w:t>
            </w:r>
          </w:p>
        </w:tc>
        <w:tc>
          <w:tcPr>
            <w:tcW w:w="8647" w:type="dxa"/>
          </w:tcPr>
          <w:p w14:paraId="665C1F34" w14:textId="77777777" w:rsidR="002D70E9" w:rsidRDefault="002D70E9" w:rsidP="002D70E9">
            <w:r w:rsidRPr="002D70E9">
              <w:rPr>
                <w:b/>
                <w:bCs/>
              </w:rPr>
              <w:t>Portable</w:t>
            </w:r>
            <w:r>
              <w:t xml:space="preserve"> </w:t>
            </w:r>
            <w:r w:rsidRPr="002D70E9">
              <w:rPr>
                <w:b/>
                <w:bCs/>
              </w:rPr>
              <w:t>scenario</w:t>
            </w:r>
            <w:r>
              <w:t xml:space="preserve"> – each portable device can detect gases stipulated in para.1 (multi-gas detector). If there</w:t>
            </w:r>
            <w:r w:rsidR="00B44127">
              <w:t xml:space="preserve"> i</w:t>
            </w:r>
            <w:r>
              <w:t>s a device which can detect all of them, that</w:t>
            </w:r>
            <w:r w:rsidR="00B44127">
              <w:t xml:space="preserve"> i</w:t>
            </w:r>
            <w:r>
              <w:t xml:space="preserve">s exactly what we need. </w:t>
            </w:r>
          </w:p>
          <w:p w14:paraId="772601F4" w14:textId="77777777" w:rsidR="002D70E9" w:rsidRDefault="002D70E9" w:rsidP="001F4204">
            <w:pPr>
              <w:rPr>
                <w:lang w:val="en-US"/>
              </w:rPr>
            </w:pPr>
          </w:p>
        </w:tc>
      </w:tr>
      <w:tr w:rsidR="002D70E9" w:rsidRPr="00F24921" w14:paraId="5C6F5624" w14:textId="77777777" w:rsidTr="00054FBB">
        <w:trPr>
          <w:trHeight w:val="645"/>
        </w:trPr>
        <w:tc>
          <w:tcPr>
            <w:tcW w:w="498" w:type="dxa"/>
          </w:tcPr>
          <w:p w14:paraId="2E76536E" w14:textId="77777777" w:rsidR="002D70E9" w:rsidRPr="00B44127" w:rsidRDefault="002D70E9" w:rsidP="00F04AD0">
            <w:r w:rsidRPr="00B44127">
              <w:t>4</w:t>
            </w:r>
          </w:p>
        </w:tc>
        <w:tc>
          <w:tcPr>
            <w:tcW w:w="4855" w:type="dxa"/>
          </w:tcPr>
          <w:p w14:paraId="0C6B8139" w14:textId="77777777" w:rsidR="00B44127" w:rsidRDefault="00B44127" w:rsidP="00B44127">
            <w:r w:rsidRPr="00B44127">
              <w:t xml:space="preserve">On point 13, “the device has to get a PID and/or infrared sensors” but these sensors are </w:t>
            </w:r>
            <w:proofErr w:type="gramStart"/>
            <w:r w:rsidRPr="00B44127">
              <w:t>totally</w:t>
            </w:r>
            <w:proofErr w:type="gramEnd"/>
            <w:r w:rsidRPr="00B44127">
              <w:t xml:space="preserve"> different.</w:t>
            </w:r>
          </w:p>
          <w:p w14:paraId="13492E84" w14:textId="77777777" w:rsidR="00B44127" w:rsidRDefault="00B44127" w:rsidP="00B44127">
            <w:r w:rsidRPr="00B44127">
              <w:t>PID sensors can be provided for VOCs such as Benzene and infrared sensors for CO2</w:t>
            </w:r>
            <w:r w:rsidR="00E07ECF">
              <w:t>,</w:t>
            </w:r>
            <w:r w:rsidRPr="00B44127">
              <w:t xml:space="preserve"> </w:t>
            </w:r>
          </w:p>
          <w:p w14:paraId="798A4A60" w14:textId="77777777" w:rsidR="002D70E9" w:rsidRPr="00B44127" w:rsidRDefault="00B44127" w:rsidP="00E07ECF">
            <w:proofErr w:type="gramStart"/>
            <w:r w:rsidRPr="00B44127">
              <w:t>but</w:t>
            </w:r>
            <w:proofErr w:type="gramEnd"/>
            <w:r w:rsidRPr="00B44127">
              <w:t xml:space="preserve"> for the other gases, we will be able to provide electrochemical sensors only</w:t>
            </w:r>
            <w:r>
              <w:t xml:space="preserve"> – for OSCE awareness only, or please elaborate.</w:t>
            </w:r>
          </w:p>
        </w:tc>
        <w:tc>
          <w:tcPr>
            <w:tcW w:w="8647" w:type="dxa"/>
          </w:tcPr>
          <w:p w14:paraId="49544F91" w14:textId="77777777" w:rsidR="002D70E9" w:rsidRDefault="002D70E9" w:rsidP="002D70E9">
            <w:r>
              <w:t xml:space="preserve">Regarding the </w:t>
            </w:r>
            <w:r w:rsidRPr="002D70E9">
              <w:rPr>
                <w:b/>
                <w:bCs/>
              </w:rPr>
              <w:t>sensors</w:t>
            </w:r>
            <w:r>
              <w:t xml:space="preserve"> (point 13) – acknowledged. The main concern is that the sensors will detect all gases listed for each device in para.1 and have the longest operational cycle. Would be great if multi-gas detector could have several sensors combined for best results.</w:t>
            </w:r>
          </w:p>
          <w:p w14:paraId="427D4FE8" w14:textId="77777777" w:rsidR="002D70E9" w:rsidRPr="004B7CBD" w:rsidRDefault="002D70E9" w:rsidP="001F4204"/>
        </w:tc>
      </w:tr>
    </w:tbl>
    <w:p w14:paraId="36487B45" w14:textId="77777777" w:rsidR="00D6528F" w:rsidRPr="00F24921" w:rsidRDefault="00D6528F"/>
    <w:sectPr w:rsidR="00D6528F" w:rsidRPr="00F24921" w:rsidSect="0083179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AA2"/>
    <w:multiLevelType w:val="hybridMultilevel"/>
    <w:tmpl w:val="97EC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A3BD3"/>
    <w:multiLevelType w:val="hybridMultilevel"/>
    <w:tmpl w:val="FCC82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8D62C5"/>
    <w:multiLevelType w:val="hybridMultilevel"/>
    <w:tmpl w:val="FCC82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F252F"/>
    <w:multiLevelType w:val="hybridMultilevel"/>
    <w:tmpl w:val="FCC82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965118"/>
    <w:multiLevelType w:val="hybridMultilevel"/>
    <w:tmpl w:val="FCC82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D0"/>
    <w:rsid w:val="00003704"/>
    <w:rsid w:val="00036BDE"/>
    <w:rsid w:val="00054FBB"/>
    <w:rsid w:val="00114914"/>
    <w:rsid w:val="00117EA4"/>
    <w:rsid w:val="00154015"/>
    <w:rsid w:val="001B45B5"/>
    <w:rsid w:val="001F4204"/>
    <w:rsid w:val="002409CC"/>
    <w:rsid w:val="0028596A"/>
    <w:rsid w:val="002D70E9"/>
    <w:rsid w:val="0035391D"/>
    <w:rsid w:val="004177C7"/>
    <w:rsid w:val="004B7CBD"/>
    <w:rsid w:val="004F55BC"/>
    <w:rsid w:val="006C07DB"/>
    <w:rsid w:val="008316DD"/>
    <w:rsid w:val="0083179B"/>
    <w:rsid w:val="00885B98"/>
    <w:rsid w:val="009410CD"/>
    <w:rsid w:val="009866EA"/>
    <w:rsid w:val="009E3710"/>
    <w:rsid w:val="00B047AC"/>
    <w:rsid w:val="00B44127"/>
    <w:rsid w:val="00C35EBB"/>
    <w:rsid w:val="00D31F30"/>
    <w:rsid w:val="00D6528F"/>
    <w:rsid w:val="00E07ECF"/>
    <w:rsid w:val="00F04AD0"/>
    <w:rsid w:val="00F24921"/>
    <w:rsid w:val="00F72868"/>
    <w:rsid w:val="00FC0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5FBB"/>
  <w15:docId w15:val="{85166A83-B781-45E8-A12A-824E7A33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30"/>
    <w:rPr>
      <w:rFonts w:ascii="Tahoma" w:hAnsi="Tahoma" w:cs="Tahoma"/>
      <w:sz w:val="16"/>
      <w:szCs w:val="16"/>
    </w:rPr>
  </w:style>
  <w:style w:type="character" w:styleId="CommentReference">
    <w:name w:val="annotation reference"/>
    <w:basedOn w:val="DefaultParagraphFont"/>
    <w:uiPriority w:val="99"/>
    <w:semiHidden/>
    <w:unhideWhenUsed/>
    <w:rsid w:val="00D31F30"/>
    <w:rPr>
      <w:sz w:val="16"/>
      <w:szCs w:val="16"/>
    </w:rPr>
  </w:style>
  <w:style w:type="paragraph" w:styleId="CommentText">
    <w:name w:val="annotation text"/>
    <w:basedOn w:val="Normal"/>
    <w:link w:val="CommentTextChar"/>
    <w:uiPriority w:val="99"/>
    <w:semiHidden/>
    <w:unhideWhenUsed/>
    <w:rsid w:val="00D31F30"/>
    <w:pPr>
      <w:spacing w:line="240" w:lineRule="auto"/>
    </w:pPr>
    <w:rPr>
      <w:sz w:val="20"/>
      <w:szCs w:val="20"/>
    </w:rPr>
  </w:style>
  <w:style w:type="character" w:customStyle="1" w:styleId="CommentTextChar">
    <w:name w:val="Comment Text Char"/>
    <w:basedOn w:val="DefaultParagraphFont"/>
    <w:link w:val="CommentText"/>
    <w:uiPriority w:val="99"/>
    <w:semiHidden/>
    <w:rsid w:val="00D31F30"/>
    <w:rPr>
      <w:sz w:val="20"/>
      <w:szCs w:val="20"/>
    </w:rPr>
  </w:style>
  <w:style w:type="paragraph" w:styleId="CommentSubject">
    <w:name w:val="annotation subject"/>
    <w:basedOn w:val="CommentText"/>
    <w:next w:val="CommentText"/>
    <w:link w:val="CommentSubjectChar"/>
    <w:uiPriority w:val="99"/>
    <w:semiHidden/>
    <w:unhideWhenUsed/>
    <w:rsid w:val="00D31F30"/>
    <w:rPr>
      <w:b/>
      <w:bCs/>
    </w:rPr>
  </w:style>
  <w:style w:type="character" w:customStyle="1" w:styleId="CommentSubjectChar">
    <w:name w:val="Comment Subject Char"/>
    <w:basedOn w:val="CommentTextChar"/>
    <w:link w:val="CommentSubject"/>
    <w:uiPriority w:val="99"/>
    <w:semiHidden/>
    <w:rsid w:val="00D31F30"/>
    <w:rPr>
      <w:b/>
      <w:bCs/>
      <w:sz w:val="20"/>
      <w:szCs w:val="20"/>
    </w:rPr>
  </w:style>
  <w:style w:type="paragraph" w:styleId="ListParagraph">
    <w:name w:val="List Paragraph"/>
    <w:basedOn w:val="Normal"/>
    <w:uiPriority w:val="34"/>
    <w:qFormat/>
    <w:rsid w:val="002D70E9"/>
    <w:pPr>
      <w:spacing w:after="0" w:line="240" w:lineRule="auto"/>
      <w:ind w:left="720"/>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8609">
      <w:bodyDiv w:val="1"/>
      <w:marLeft w:val="0"/>
      <w:marRight w:val="0"/>
      <w:marTop w:val="0"/>
      <w:marBottom w:val="0"/>
      <w:divBdr>
        <w:top w:val="none" w:sz="0" w:space="0" w:color="auto"/>
        <w:left w:val="none" w:sz="0" w:space="0" w:color="auto"/>
        <w:bottom w:val="none" w:sz="0" w:space="0" w:color="auto"/>
        <w:right w:val="none" w:sz="0" w:space="0" w:color="auto"/>
      </w:divBdr>
    </w:div>
    <w:div w:id="517084703">
      <w:bodyDiv w:val="1"/>
      <w:marLeft w:val="0"/>
      <w:marRight w:val="0"/>
      <w:marTop w:val="0"/>
      <w:marBottom w:val="0"/>
      <w:divBdr>
        <w:top w:val="none" w:sz="0" w:space="0" w:color="auto"/>
        <w:left w:val="none" w:sz="0" w:space="0" w:color="auto"/>
        <w:bottom w:val="none" w:sz="0" w:space="0" w:color="auto"/>
        <w:right w:val="none" w:sz="0" w:space="0" w:color="auto"/>
      </w:divBdr>
    </w:div>
    <w:div w:id="819662723">
      <w:bodyDiv w:val="1"/>
      <w:marLeft w:val="0"/>
      <w:marRight w:val="0"/>
      <w:marTop w:val="0"/>
      <w:marBottom w:val="0"/>
      <w:divBdr>
        <w:top w:val="none" w:sz="0" w:space="0" w:color="auto"/>
        <w:left w:val="none" w:sz="0" w:space="0" w:color="auto"/>
        <w:bottom w:val="none" w:sz="0" w:space="0" w:color="auto"/>
        <w:right w:val="none" w:sz="0" w:space="0" w:color="auto"/>
      </w:divBdr>
    </w:div>
    <w:div w:id="877931401">
      <w:bodyDiv w:val="1"/>
      <w:marLeft w:val="0"/>
      <w:marRight w:val="0"/>
      <w:marTop w:val="0"/>
      <w:marBottom w:val="0"/>
      <w:divBdr>
        <w:top w:val="none" w:sz="0" w:space="0" w:color="auto"/>
        <w:left w:val="none" w:sz="0" w:space="0" w:color="auto"/>
        <w:bottom w:val="none" w:sz="0" w:space="0" w:color="auto"/>
        <w:right w:val="none" w:sz="0" w:space="0" w:color="auto"/>
      </w:divBdr>
    </w:div>
    <w:div w:id="914751909">
      <w:bodyDiv w:val="1"/>
      <w:marLeft w:val="0"/>
      <w:marRight w:val="0"/>
      <w:marTop w:val="0"/>
      <w:marBottom w:val="0"/>
      <w:divBdr>
        <w:top w:val="none" w:sz="0" w:space="0" w:color="auto"/>
        <w:left w:val="none" w:sz="0" w:space="0" w:color="auto"/>
        <w:bottom w:val="none" w:sz="0" w:space="0" w:color="auto"/>
        <w:right w:val="none" w:sz="0" w:space="0" w:color="auto"/>
      </w:divBdr>
    </w:div>
    <w:div w:id="927152792">
      <w:bodyDiv w:val="1"/>
      <w:marLeft w:val="0"/>
      <w:marRight w:val="0"/>
      <w:marTop w:val="0"/>
      <w:marBottom w:val="0"/>
      <w:divBdr>
        <w:top w:val="none" w:sz="0" w:space="0" w:color="auto"/>
        <w:left w:val="none" w:sz="0" w:space="0" w:color="auto"/>
        <w:bottom w:val="none" w:sz="0" w:space="0" w:color="auto"/>
        <w:right w:val="none" w:sz="0" w:space="0" w:color="auto"/>
      </w:divBdr>
    </w:div>
    <w:div w:id="1034187652">
      <w:bodyDiv w:val="1"/>
      <w:marLeft w:val="0"/>
      <w:marRight w:val="0"/>
      <w:marTop w:val="0"/>
      <w:marBottom w:val="0"/>
      <w:divBdr>
        <w:top w:val="none" w:sz="0" w:space="0" w:color="auto"/>
        <w:left w:val="none" w:sz="0" w:space="0" w:color="auto"/>
        <w:bottom w:val="none" w:sz="0" w:space="0" w:color="auto"/>
        <w:right w:val="none" w:sz="0" w:space="0" w:color="auto"/>
      </w:divBdr>
    </w:div>
    <w:div w:id="1175077743">
      <w:bodyDiv w:val="1"/>
      <w:marLeft w:val="0"/>
      <w:marRight w:val="0"/>
      <w:marTop w:val="0"/>
      <w:marBottom w:val="0"/>
      <w:divBdr>
        <w:top w:val="none" w:sz="0" w:space="0" w:color="auto"/>
        <w:left w:val="none" w:sz="0" w:space="0" w:color="auto"/>
        <w:bottom w:val="none" w:sz="0" w:space="0" w:color="auto"/>
        <w:right w:val="none" w:sz="0" w:space="0" w:color="auto"/>
      </w:divBdr>
    </w:div>
    <w:div w:id="1453670513">
      <w:bodyDiv w:val="1"/>
      <w:marLeft w:val="0"/>
      <w:marRight w:val="0"/>
      <w:marTop w:val="0"/>
      <w:marBottom w:val="0"/>
      <w:divBdr>
        <w:top w:val="none" w:sz="0" w:space="0" w:color="auto"/>
        <w:left w:val="none" w:sz="0" w:space="0" w:color="auto"/>
        <w:bottom w:val="none" w:sz="0" w:space="0" w:color="auto"/>
        <w:right w:val="none" w:sz="0" w:space="0" w:color="auto"/>
      </w:divBdr>
    </w:div>
    <w:div w:id="17190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SECPCU-1545178547-1125</_dlc_DocId>
    <_dlc_DocIdUrl xmlns="8ae9e4b5-a25c-480e-bd4a-637337fa20a2">
      <Url>https://jarvis.osce.org/sites/sec_pcu/drm/_layouts/15/DocIdRedir.aspx?ID=SECPCU-1545178547-1125</Url>
      <Description>SECPCU-1545178547-1125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A060-3B03-4DA8-90CD-FA8F6D26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03D95-E19D-4E2D-A787-922D9EFC0252}">
  <ds:schemaRefs>
    <ds:schemaRef ds:uri="http://schemas.microsoft.com/sharepoint/events"/>
  </ds:schemaRefs>
</ds:datastoreItem>
</file>

<file path=customXml/itemProps3.xml><?xml version="1.0" encoding="utf-8"?>
<ds:datastoreItem xmlns:ds="http://schemas.openxmlformats.org/officeDocument/2006/customXml" ds:itemID="{038614C2-0B42-4291-BB0E-008E473B4E11}">
  <ds:schemaRefs>
    <ds:schemaRef ds:uri="http://schemas.microsoft.com/sharepoint/v3/contenttype/forms"/>
  </ds:schemaRefs>
</ds:datastoreItem>
</file>

<file path=customXml/itemProps4.xml><?xml version="1.0" encoding="utf-8"?>
<ds:datastoreItem xmlns:ds="http://schemas.openxmlformats.org/officeDocument/2006/customXml" ds:itemID="{05471117-CE4F-415B-9DEE-E5E91FDB18F7}">
  <ds:schemaRefs>
    <ds:schemaRef ds:uri="http://purl.org/dc/elements/1.1/"/>
    <ds:schemaRef ds:uri="http://schemas.microsoft.com/office/2006/documentManagement/types"/>
    <ds:schemaRef ds:uri="1fc8b376-a36e-41c2-b0ec-ba8a570258d0"/>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8ae9e4b5-a25c-480e-bd4a-637337fa20a2"/>
    <ds:schemaRef ds:uri="http://purl.org/dc/dcmitype/"/>
  </ds:schemaRefs>
</ds:datastoreItem>
</file>

<file path=customXml/itemProps5.xml><?xml version="1.0" encoding="utf-8"?>
<ds:datastoreItem xmlns:ds="http://schemas.openxmlformats.org/officeDocument/2006/customXml" ds:itemID="{3E174CC2-9D66-44CF-815C-78A7AD17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Kakulia</dc:creator>
  <cp:lastModifiedBy>Mariya Yakymakha</cp:lastModifiedBy>
  <cp:revision>2</cp:revision>
  <dcterms:created xsi:type="dcterms:W3CDTF">2020-01-03T15:31:00Z</dcterms:created>
  <dcterms:modified xsi:type="dcterms:W3CDTF">2020-01-03T15:31:00Z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1a348643-0207-4bc9-8f8e-c54fa7d8df6e</vt:lpwstr>
  </property>
</Properties>
</file>