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22095" w14:textId="46846D25" w:rsidR="009369D9" w:rsidRDefault="009369D9" w:rsidP="009369D9">
      <w:pPr>
        <w:pStyle w:val="Default"/>
      </w:pPr>
      <w:r w:rsidRPr="003E3465">
        <w:rPr>
          <w:rFonts w:ascii="Arial" w:eastAsia="Arial Unicode MS" w:hAnsi="Arial" w:cs="Arial"/>
          <w:noProof/>
          <w:sz w:val="22"/>
          <w:szCs w:val="22"/>
          <w:u w:color="000000"/>
          <w:bdr w:val="nil"/>
        </w:rPr>
        <w:drawing>
          <wp:anchor distT="0" distB="0" distL="114300" distR="114300" simplePos="0" relativeHeight="251659264" behindDoc="1" locked="0" layoutInCell="1" allowOverlap="1" wp14:anchorId="615BEBC5" wp14:editId="7BFCE4AC">
            <wp:simplePos x="0" y="0"/>
            <wp:positionH relativeFrom="margin">
              <wp:posOffset>1630680</wp:posOffset>
            </wp:positionH>
            <wp:positionV relativeFrom="paragraph">
              <wp:posOffset>0</wp:posOffset>
            </wp:positionV>
            <wp:extent cx="2466975" cy="322580"/>
            <wp:effectExtent l="0" t="0" r="9525" b="1270"/>
            <wp:wrapTight wrapText="bothSides">
              <wp:wrapPolygon edited="0">
                <wp:start x="0" y="0"/>
                <wp:lineTo x="0" y="20409"/>
                <wp:lineTo x="18181" y="20409"/>
                <wp:lineTo x="21517" y="6378"/>
                <wp:lineTo x="21517" y="0"/>
                <wp:lineTo x="0" y="0"/>
              </wp:wrapPolygon>
            </wp:wrapTight>
            <wp:docPr id="1" name="Picture 3" descr="C:\Users\msalihudervishi\AppData\Local\Microsoft\Windows\Temporary Internet Files\Content.Outlook\47LU58RA\OMIK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alihudervishi\AppData\Local\Microsoft\Windows\Temporary Internet Files\Content.Outlook\47LU58RA\OMIK_logo_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322580"/>
                    </a:xfrm>
                    <a:prstGeom prst="rect">
                      <a:avLst/>
                    </a:prstGeom>
                    <a:noFill/>
                    <a:ln>
                      <a:noFill/>
                    </a:ln>
                  </pic:spPr>
                </pic:pic>
              </a:graphicData>
            </a:graphic>
            <wp14:sizeRelH relativeFrom="margin">
              <wp14:pctWidth>0</wp14:pctWidth>
            </wp14:sizeRelH>
          </wp:anchor>
        </w:drawing>
      </w:r>
    </w:p>
    <w:p w14:paraId="3A2A8421" w14:textId="77777777" w:rsidR="009369D9" w:rsidRDefault="009369D9" w:rsidP="009369D9">
      <w:pPr>
        <w:pStyle w:val="Default"/>
      </w:pPr>
      <w:r>
        <w:t xml:space="preserve"> </w:t>
      </w:r>
    </w:p>
    <w:p w14:paraId="208C6ED4" w14:textId="77777777" w:rsidR="009369D9" w:rsidRDefault="009369D9" w:rsidP="009369D9">
      <w:pPr>
        <w:pStyle w:val="Default"/>
      </w:pPr>
    </w:p>
    <w:p w14:paraId="0EA26A7E" w14:textId="77777777" w:rsidR="009369D9" w:rsidRDefault="009369D9" w:rsidP="009369D9">
      <w:pPr>
        <w:pStyle w:val="Default"/>
        <w:jc w:val="center"/>
        <w:rPr>
          <w:rFonts w:ascii="Times New Roman" w:hAnsi="Times New Roman" w:cs="Times New Roman"/>
          <w:b/>
          <w:bCs/>
          <w:color w:val="4472C4" w:themeColor="accent1"/>
          <w:sz w:val="28"/>
          <w:szCs w:val="28"/>
        </w:rPr>
      </w:pPr>
    </w:p>
    <w:p w14:paraId="3178F2E9" w14:textId="0B63CC54" w:rsidR="009369D9" w:rsidRPr="009369D9" w:rsidRDefault="009369D9" w:rsidP="009369D9">
      <w:pPr>
        <w:pStyle w:val="Default"/>
        <w:jc w:val="center"/>
        <w:rPr>
          <w:rFonts w:ascii="Times New Roman" w:hAnsi="Times New Roman" w:cs="Times New Roman"/>
          <w:b/>
          <w:color w:val="4472C4" w:themeColor="accent1"/>
          <w:sz w:val="28"/>
          <w:szCs w:val="28"/>
        </w:rPr>
      </w:pPr>
      <w:r w:rsidRPr="009369D9">
        <w:rPr>
          <w:rFonts w:ascii="Times New Roman" w:hAnsi="Times New Roman" w:cs="Times New Roman"/>
          <w:b/>
          <w:bCs/>
          <w:color w:val="4472C4" w:themeColor="accent1"/>
          <w:sz w:val="28"/>
          <w:szCs w:val="28"/>
        </w:rPr>
        <w:t>Request for Expression of Interest (</w:t>
      </w:r>
      <w:proofErr w:type="spellStart"/>
      <w:r w:rsidRPr="009369D9">
        <w:rPr>
          <w:rFonts w:ascii="Times New Roman" w:hAnsi="Times New Roman" w:cs="Times New Roman"/>
          <w:b/>
          <w:bCs/>
          <w:color w:val="4472C4" w:themeColor="accent1"/>
          <w:sz w:val="28"/>
          <w:szCs w:val="28"/>
        </w:rPr>
        <w:t>EoI</w:t>
      </w:r>
      <w:proofErr w:type="spellEnd"/>
      <w:r w:rsidRPr="009369D9">
        <w:rPr>
          <w:rFonts w:ascii="Times New Roman" w:hAnsi="Times New Roman" w:cs="Times New Roman"/>
          <w:b/>
          <w:bCs/>
          <w:color w:val="4472C4" w:themeColor="accent1"/>
          <w:sz w:val="28"/>
          <w:szCs w:val="28"/>
        </w:rPr>
        <w:t>)</w:t>
      </w:r>
    </w:p>
    <w:p w14:paraId="630279A4" w14:textId="54148EA3" w:rsidR="00FB40A5" w:rsidRPr="009369D9" w:rsidRDefault="009369D9" w:rsidP="009369D9">
      <w:pPr>
        <w:pStyle w:val="Default"/>
        <w:jc w:val="center"/>
        <w:rPr>
          <w:rFonts w:ascii="Times New Roman" w:hAnsi="Times New Roman" w:cs="Times New Roman"/>
          <w:b/>
          <w:color w:val="4472C4" w:themeColor="accent1"/>
          <w:sz w:val="28"/>
          <w:szCs w:val="28"/>
        </w:rPr>
      </w:pPr>
      <w:r w:rsidRPr="009369D9">
        <w:rPr>
          <w:rFonts w:ascii="Times New Roman" w:hAnsi="Times New Roman" w:cs="Times New Roman"/>
          <w:b/>
          <w:bCs/>
          <w:color w:val="4472C4" w:themeColor="accent1"/>
          <w:sz w:val="28"/>
          <w:szCs w:val="28"/>
        </w:rPr>
        <w:t xml:space="preserve">for the </w:t>
      </w:r>
      <w:r w:rsidRPr="009369D9">
        <w:rPr>
          <w:rFonts w:ascii="Times New Roman" w:hAnsi="Times New Roman" w:cs="Times New Roman"/>
          <w:b/>
          <w:color w:val="4472C4" w:themeColor="accent1"/>
          <w:sz w:val="28"/>
          <w:szCs w:val="28"/>
        </w:rPr>
        <w:t xml:space="preserve">provision of services for </w:t>
      </w:r>
      <w:r w:rsidRPr="009369D9">
        <w:rPr>
          <w:rFonts w:ascii="Times New Roman" w:hAnsi="Times New Roman" w:cs="Times New Roman"/>
          <w:b/>
          <w:color w:val="4472C4" w:themeColor="accent1"/>
          <w:sz w:val="28"/>
          <w:szCs w:val="28"/>
          <w:lang w:val="en-GB"/>
        </w:rPr>
        <w:t xml:space="preserve">to conduct a </w:t>
      </w:r>
      <w:r w:rsidRPr="009369D9">
        <w:rPr>
          <w:rFonts w:ascii="Times New Roman" w:eastAsia="Times New Roman" w:hAnsi="Times New Roman" w:cs="Times New Roman"/>
          <w:b/>
          <w:color w:val="4472C4" w:themeColor="accent1"/>
          <w:sz w:val="28"/>
          <w:szCs w:val="28"/>
          <w:lang w:val="en-GB"/>
        </w:rPr>
        <w:t xml:space="preserve">detailed feasibility study is needed by a company, and the findings would serve as a guide and reference for drafting an </w:t>
      </w:r>
      <w:proofErr w:type="spellStart"/>
      <w:r w:rsidRPr="009369D9">
        <w:rPr>
          <w:rFonts w:ascii="Times New Roman" w:eastAsia="Times New Roman" w:hAnsi="Times New Roman" w:cs="Times New Roman"/>
          <w:b/>
          <w:color w:val="4472C4" w:themeColor="accent1"/>
          <w:sz w:val="28"/>
          <w:szCs w:val="28"/>
          <w:lang w:val="en-GB"/>
        </w:rPr>
        <w:t>ExB</w:t>
      </w:r>
      <w:proofErr w:type="spellEnd"/>
      <w:r w:rsidRPr="009369D9">
        <w:rPr>
          <w:rFonts w:ascii="Times New Roman" w:eastAsia="Times New Roman" w:hAnsi="Times New Roman" w:cs="Times New Roman"/>
          <w:b/>
          <w:color w:val="4472C4" w:themeColor="accent1"/>
          <w:sz w:val="28"/>
          <w:szCs w:val="28"/>
          <w:lang w:val="en-GB"/>
        </w:rPr>
        <w:t xml:space="preserve"> Project, and potential implementation of the electronic monitoring program for </w:t>
      </w:r>
      <w:r>
        <w:rPr>
          <w:rFonts w:ascii="Times New Roman" w:eastAsia="Times New Roman" w:hAnsi="Times New Roman" w:cs="Times New Roman"/>
          <w:b/>
          <w:color w:val="4472C4" w:themeColor="accent1"/>
          <w:sz w:val="28"/>
          <w:szCs w:val="28"/>
          <w:lang w:val="en-GB"/>
        </w:rPr>
        <w:t>Kosovo Police</w:t>
      </w:r>
      <w:r w:rsidRPr="009369D9">
        <w:rPr>
          <w:rFonts w:ascii="Times New Roman" w:eastAsia="Times New Roman" w:hAnsi="Times New Roman" w:cs="Times New Roman"/>
          <w:b/>
          <w:color w:val="4472C4" w:themeColor="accent1"/>
          <w:sz w:val="28"/>
          <w:szCs w:val="28"/>
          <w:lang w:val="en-GB"/>
        </w:rPr>
        <w:t>, but also to ensure that all aspects are considered correctly.</w:t>
      </w:r>
    </w:p>
    <w:p w14:paraId="52693B37" w14:textId="2A118B64" w:rsidR="00503EF5" w:rsidRPr="00203B63" w:rsidRDefault="00503EF5" w:rsidP="00203B63">
      <w:pPr>
        <w:spacing w:after="0" w:line="240" w:lineRule="auto"/>
        <w:rPr>
          <w:rFonts w:ascii="Times New Roman" w:hAnsi="Times New Roman" w:cs="Times New Roman"/>
        </w:rPr>
      </w:pPr>
    </w:p>
    <w:p w14:paraId="58D87C30" w14:textId="2BB85BDA" w:rsidR="00503EF5" w:rsidRPr="00877C9A" w:rsidRDefault="00503EF5" w:rsidP="00203B63">
      <w:pPr>
        <w:pStyle w:val="ListParagraph"/>
        <w:numPr>
          <w:ilvl w:val="0"/>
          <w:numId w:val="1"/>
        </w:numPr>
        <w:spacing w:after="0" w:line="240" w:lineRule="auto"/>
        <w:rPr>
          <w:rFonts w:ascii="Times New Roman" w:hAnsi="Times New Roman" w:cs="Times New Roman"/>
          <w:b/>
          <w:color w:val="4472C4" w:themeColor="accent1"/>
          <w:sz w:val="24"/>
          <w:szCs w:val="24"/>
        </w:rPr>
      </w:pPr>
      <w:r w:rsidRPr="00877C9A">
        <w:rPr>
          <w:rFonts w:ascii="Times New Roman" w:hAnsi="Times New Roman" w:cs="Times New Roman"/>
          <w:b/>
          <w:color w:val="4472C4" w:themeColor="accent1"/>
          <w:sz w:val="24"/>
          <w:szCs w:val="24"/>
        </w:rPr>
        <w:t xml:space="preserve">Background </w:t>
      </w:r>
    </w:p>
    <w:p w14:paraId="5AA8972E" w14:textId="77777777" w:rsidR="00D653C7" w:rsidRPr="00203B63" w:rsidRDefault="00D653C7" w:rsidP="00203B63">
      <w:pPr>
        <w:pStyle w:val="ListParagraph"/>
        <w:spacing w:after="0" w:line="240" w:lineRule="auto"/>
        <w:rPr>
          <w:rFonts w:ascii="Times New Roman" w:hAnsi="Times New Roman" w:cs="Times New Roman"/>
        </w:rPr>
      </w:pPr>
    </w:p>
    <w:p w14:paraId="44673470" w14:textId="0E524774" w:rsidR="00503EF5" w:rsidRPr="00203B63" w:rsidRDefault="00503EF5" w:rsidP="00203B63">
      <w:pPr>
        <w:spacing w:after="0" w:line="240" w:lineRule="auto"/>
        <w:ind w:left="360"/>
        <w:jc w:val="both"/>
        <w:rPr>
          <w:rFonts w:ascii="Times New Roman" w:hAnsi="Times New Roman" w:cs="Times New Roman"/>
        </w:rPr>
      </w:pPr>
      <w:r w:rsidRPr="00203B63">
        <w:rPr>
          <w:rFonts w:ascii="Times New Roman" w:hAnsi="Times New Roman" w:cs="Times New Roman"/>
        </w:rPr>
        <w:t xml:space="preserve">The OSCE The mission of the Organization for Security and Co-operation in Europe (OSCE) is to promote security and cooperation among 57 participating States through arms control, preventive diplomacy, confidence and security building measures, human rights, </w:t>
      </w:r>
      <w:proofErr w:type="spellStart"/>
      <w:r w:rsidRPr="00203B63">
        <w:rPr>
          <w:rFonts w:ascii="Times New Roman" w:hAnsi="Times New Roman" w:cs="Times New Roman"/>
        </w:rPr>
        <w:t>democratisation</w:t>
      </w:r>
      <w:proofErr w:type="spellEnd"/>
      <w:r w:rsidRPr="00203B63">
        <w:rPr>
          <w:rFonts w:ascii="Times New Roman" w:hAnsi="Times New Roman" w:cs="Times New Roman"/>
        </w:rPr>
        <w:t xml:space="preserve">, election monitoring, and economic and environmental security. It uses the instruments of early warning, conflict prevention, crisis management and post-conflict rehabilitation to facilitate political processes, prevent or settle conflicts, and promote civil society and the rule of law. To get an overview about where OSCE operates please see out web site </w:t>
      </w:r>
      <w:hyperlink r:id="rId9" w:history="1">
        <w:r w:rsidR="00D653C7" w:rsidRPr="00203B63">
          <w:rPr>
            <w:rStyle w:val="Hyperlink"/>
            <w:rFonts w:ascii="Times New Roman" w:hAnsi="Times New Roman" w:cs="Times New Roman"/>
          </w:rPr>
          <w:t>http://www.osce.org/where-we-are</w:t>
        </w:r>
      </w:hyperlink>
      <w:r w:rsidR="00A442DA" w:rsidRPr="00203B63">
        <w:rPr>
          <w:rFonts w:ascii="Times New Roman" w:hAnsi="Times New Roman" w:cs="Times New Roman"/>
        </w:rPr>
        <w:t>.</w:t>
      </w:r>
    </w:p>
    <w:p w14:paraId="217628FA" w14:textId="77777777" w:rsidR="00D653C7" w:rsidRPr="00203B63" w:rsidRDefault="00D653C7" w:rsidP="00203B63">
      <w:pPr>
        <w:spacing w:after="0" w:line="240" w:lineRule="auto"/>
        <w:ind w:left="360"/>
        <w:jc w:val="both"/>
        <w:rPr>
          <w:rFonts w:ascii="Times New Roman" w:hAnsi="Times New Roman" w:cs="Times New Roman"/>
        </w:rPr>
      </w:pPr>
    </w:p>
    <w:p w14:paraId="7105D030" w14:textId="1686E301" w:rsidR="00A26BDD" w:rsidRPr="00203B63" w:rsidRDefault="00A26BDD" w:rsidP="00203B63">
      <w:pPr>
        <w:shd w:val="clear" w:color="auto" w:fill="FFFFFF"/>
        <w:spacing w:after="0" w:line="240" w:lineRule="auto"/>
        <w:ind w:left="360"/>
        <w:jc w:val="both"/>
        <w:rPr>
          <w:rFonts w:ascii="Times New Roman" w:hAnsi="Times New Roman" w:cs="Times New Roman"/>
        </w:rPr>
      </w:pPr>
      <w:r w:rsidRPr="00203B63">
        <w:rPr>
          <w:rFonts w:ascii="Times New Roman" w:hAnsi="Times New Roman" w:cs="Times New Roman"/>
        </w:rPr>
        <w:t>The OSCE Missions in Kosovo (OMiK) seeks to further the OSCE above listed values and mandate related to Kosovo supporting beneficiaries sin the security sector, specifically the Kosovo Police.  The Kosovo Police (KP) through the Office of the General Director have expressed a need to effect implementation of an uninterrupted electronic monitoring system to meet the legal requirements</w:t>
      </w:r>
      <w:r w:rsidRPr="00203B63">
        <w:rPr>
          <w:rStyle w:val="FootnoteReference"/>
          <w:rFonts w:cs="Times New Roman"/>
          <w:sz w:val="22"/>
        </w:rPr>
        <w:footnoteReference w:id="1"/>
      </w:r>
      <w:r w:rsidRPr="00203B63">
        <w:rPr>
          <w:rFonts w:ascii="Times New Roman" w:hAnsi="Times New Roman" w:cs="Times New Roman"/>
        </w:rPr>
        <w:t xml:space="preserve"> placed upon the KP to electronically monitor persons consenting or adjudicated to wear such devices. The electronic monitoring service must allow the police a 24-hour a day/7-days a week full territorial coverage monitoring to assure the person with such device does not breach the judicial restrictions of movement placed upon them (i.e., victim/human perimeter monitoring and/or geo-perimeter restriction monitoring). </w:t>
      </w:r>
    </w:p>
    <w:p w14:paraId="4FBF4EE4" w14:textId="77777777" w:rsidR="00D653C7" w:rsidRPr="00203B63" w:rsidRDefault="00D653C7" w:rsidP="00203B63">
      <w:pPr>
        <w:shd w:val="clear" w:color="auto" w:fill="FFFFFF"/>
        <w:spacing w:after="0" w:line="240" w:lineRule="auto"/>
        <w:ind w:left="360"/>
        <w:jc w:val="both"/>
        <w:rPr>
          <w:rFonts w:ascii="Times New Roman" w:hAnsi="Times New Roman" w:cs="Times New Roman"/>
        </w:rPr>
      </w:pPr>
    </w:p>
    <w:p w14:paraId="721D2775" w14:textId="099A1D97" w:rsidR="00A26BDD" w:rsidRDefault="00A26BDD" w:rsidP="00203B63">
      <w:pPr>
        <w:shd w:val="clear" w:color="auto" w:fill="FFFFFF"/>
        <w:spacing w:after="0" w:line="240" w:lineRule="auto"/>
        <w:ind w:left="360"/>
        <w:jc w:val="both"/>
        <w:rPr>
          <w:rFonts w:ascii="Times New Roman" w:eastAsia="Times New Roman" w:hAnsi="Times New Roman" w:cs="Times New Roman"/>
          <w:color w:val="000000" w:themeColor="text1"/>
          <w:lang w:val="en-GB"/>
        </w:rPr>
      </w:pPr>
      <w:r w:rsidRPr="00203B63">
        <w:rPr>
          <w:rFonts w:ascii="Times New Roman" w:hAnsi="Times New Roman" w:cs="Times New Roman"/>
        </w:rPr>
        <w:t xml:space="preserve">Such an electronic monitoring system would also assist the OMiK </w:t>
      </w:r>
      <w:r w:rsidRPr="00203B63">
        <w:rPr>
          <w:rFonts w:ascii="Times New Roman" w:hAnsi="Times New Roman" w:cs="Times New Roman"/>
          <w:lang w:val="en-GB"/>
        </w:rPr>
        <w:t xml:space="preserve">whole-of-Mission approach to boost victim-centred approaches for safety and security related to the impacts of domestic violence, including some forms of violence against women, as well as proactive activities empowering government entities in serving the victims better, with a centre toward gender-based violence reduction and improved safety and security. In this context, such an endeavour would undoubtedly fall under the mandate of the Mission’s security and safety programme to build the capacities of the police and other law enforcement agencies in preventing and fighting various crime phenomena. </w:t>
      </w:r>
      <w:proofErr w:type="gramStart"/>
      <w:r w:rsidRPr="00203B63">
        <w:rPr>
          <w:rFonts w:ascii="Times New Roman" w:hAnsi="Times New Roman" w:cs="Times New Roman"/>
          <w:lang w:val="en-GB"/>
        </w:rPr>
        <w:t xml:space="preserve">However, to initiate the implementation of such an undertaking, Mission needs to acquire external consultancy services to conduct a </w:t>
      </w:r>
      <w:r w:rsidRPr="00203B63">
        <w:rPr>
          <w:rFonts w:ascii="Times New Roman" w:eastAsia="Times New Roman" w:hAnsi="Times New Roman" w:cs="Times New Roman"/>
          <w:color w:val="000000" w:themeColor="text1"/>
          <w:lang w:val="en-GB"/>
        </w:rPr>
        <w:t xml:space="preserve">detailed feasibility study is needed by an expert or company, and the findings would serve as a guide and reference for drafting an </w:t>
      </w:r>
      <w:proofErr w:type="spellStart"/>
      <w:r w:rsidRPr="00203B63">
        <w:rPr>
          <w:rFonts w:ascii="Times New Roman" w:eastAsia="Times New Roman" w:hAnsi="Times New Roman" w:cs="Times New Roman"/>
          <w:color w:val="000000" w:themeColor="text1"/>
          <w:lang w:val="en-GB"/>
        </w:rPr>
        <w:t>ExB</w:t>
      </w:r>
      <w:proofErr w:type="spellEnd"/>
      <w:r w:rsidRPr="00203B63">
        <w:rPr>
          <w:rFonts w:ascii="Times New Roman" w:eastAsia="Times New Roman" w:hAnsi="Times New Roman" w:cs="Times New Roman"/>
          <w:color w:val="000000" w:themeColor="text1"/>
          <w:lang w:val="en-GB"/>
        </w:rPr>
        <w:t xml:space="preserve"> Project, </w:t>
      </w:r>
      <w:r w:rsidR="00A442DA" w:rsidRPr="00203B63">
        <w:rPr>
          <w:rFonts w:ascii="Times New Roman" w:eastAsia="Times New Roman" w:hAnsi="Times New Roman" w:cs="Times New Roman"/>
          <w:color w:val="000000" w:themeColor="text1"/>
          <w:lang w:val="en-GB"/>
        </w:rPr>
        <w:t xml:space="preserve">and potential implementation of the electronic monitoring program for KP, </w:t>
      </w:r>
      <w:r w:rsidRPr="00203B63">
        <w:rPr>
          <w:rFonts w:ascii="Times New Roman" w:eastAsia="Times New Roman" w:hAnsi="Times New Roman" w:cs="Times New Roman"/>
          <w:color w:val="000000" w:themeColor="text1"/>
          <w:lang w:val="en-GB"/>
        </w:rPr>
        <w:t>but also to ensure that all aspects are considered correctly.</w:t>
      </w:r>
      <w:proofErr w:type="gramEnd"/>
    </w:p>
    <w:p w14:paraId="786DD89C" w14:textId="291BBFB3" w:rsidR="00877C9A" w:rsidRDefault="00877C9A" w:rsidP="00203B63">
      <w:pPr>
        <w:shd w:val="clear" w:color="auto" w:fill="FFFFFF"/>
        <w:spacing w:after="0" w:line="240" w:lineRule="auto"/>
        <w:ind w:left="360"/>
        <w:jc w:val="both"/>
        <w:rPr>
          <w:rFonts w:ascii="Times New Roman" w:eastAsia="Times New Roman" w:hAnsi="Times New Roman" w:cs="Times New Roman"/>
          <w:color w:val="000000" w:themeColor="text1"/>
          <w:lang w:val="en-GB"/>
        </w:rPr>
      </w:pPr>
    </w:p>
    <w:p w14:paraId="28960694" w14:textId="1E87195C" w:rsidR="00877C9A" w:rsidRDefault="00877C9A" w:rsidP="00203B63">
      <w:pPr>
        <w:shd w:val="clear" w:color="auto" w:fill="FFFFFF"/>
        <w:spacing w:after="0" w:line="240" w:lineRule="auto"/>
        <w:ind w:left="360"/>
        <w:jc w:val="both"/>
        <w:rPr>
          <w:rFonts w:ascii="Times New Roman" w:eastAsia="Times New Roman" w:hAnsi="Times New Roman" w:cs="Times New Roman"/>
          <w:color w:val="000000" w:themeColor="text1"/>
          <w:lang w:val="en-GB"/>
        </w:rPr>
      </w:pPr>
    </w:p>
    <w:p w14:paraId="3FE49DBD" w14:textId="77777777" w:rsidR="00877C9A" w:rsidRPr="00203B63" w:rsidRDefault="00877C9A" w:rsidP="00203B63">
      <w:pPr>
        <w:shd w:val="clear" w:color="auto" w:fill="FFFFFF"/>
        <w:spacing w:after="0" w:line="240" w:lineRule="auto"/>
        <w:ind w:left="360"/>
        <w:jc w:val="both"/>
        <w:rPr>
          <w:rFonts w:ascii="Times New Roman" w:eastAsia="Times New Roman" w:hAnsi="Times New Roman" w:cs="Times New Roman"/>
          <w:color w:val="000000" w:themeColor="text1"/>
          <w:lang w:val="en-GB"/>
        </w:rPr>
      </w:pPr>
    </w:p>
    <w:p w14:paraId="7B14B1AD" w14:textId="77777777" w:rsidR="00A26BDD" w:rsidRPr="00203B63" w:rsidRDefault="00A26BDD" w:rsidP="00203B63">
      <w:pPr>
        <w:spacing w:after="0" w:line="240" w:lineRule="auto"/>
        <w:ind w:left="360"/>
        <w:rPr>
          <w:rFonts w:ascii="Times New Roman" w:hAnsi="Times New Roman" w:cs="Times New Roman"/>
        </w:rPr>
      </w:pPr>
    </w:p>
    <w:p w14:paraId="24E136CE" w14:textId="79425D23" w:rsidR="00503EF5" w:rsidRPr="00877C9A" w:rsidRDefault="00503EF5" w:rsidP="00203B63">
      <w:pPr>
        <w:pStyle w:val="ListParagraph"/>
        <w:numPr>
          <w:ilvl w:val="0"/>
          <w:numId w:val="1"/>
        </w:numPr>
        <w:spacing w:after="0" w:line="240" w:lineRule="auto"/>
        <w:rPr>
          <w:rFonts w:ascii="Times New Roman" w:hAnsi="Times New Roman" w:cs="Times New Roman"/>
          <w:b/>
          <w:color w:val="4472C4" w:themeColor="accent1"/>
        </w:rPr>
      </w:pPr>
      <w:r w:rsidRPr="00877C9A">
        <w:rPr>
          <w:rFonts w:ascii="Times New Roman" w:hAnsi="Times New Roman" w:cs="Times New Roman"/>
          <w:b/>
          <w:color w:val="4472C4" w:themeColor="accent1"/>
        </w:rPr>
        <w:t xml:space="preserve">Request for Expression of Interest </w:t>
      </w:r>
    </w:p>
    <w:p w14:paraId="01FBFF88" w14:textId="77777777" w:rsidR="00D653C7" w:rsidRPr="00203B63" w:rsidRDefault="00D653C7" w:rsidP="00203B63">
      <w:pPr>
        <w:pStyle w:val="ListParagraph"/>
        <w:spacing w:after="0" w:line="240" w:lineRule="auto"/>
        <w:rPr>
          <w:rFonts w:ascii="Times New Roman" w:hAnsi="Times New Roman" w:cs="Times New Roman"/>
        </w:rPr>
      </w:pPr>
    </w:p>
    <w:p w14:paraId="2088E09B" w14:textId="3B86A29A"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This Expression of Interest (</w:t>
      </w:r>
      <w:proofErr w:type="spellStart"/>
      <w:r w:rsidRPr="00203B63">
        <w:rPr>
          <w:rFonts w:ascii="Times New Roman" w:hAnsi="Times New Roman" w:cs="Times New Roman"/>
        </w:rPr>
        <w:t>EoI</w:t>
      </w:r>
      <w:proofErr w:type="spellEnd"/>
      <w:r w:rsidRPr="00203B63">
        <w:rPr>
          <w:rFonts w:ascii="Times New Roman" w:hAnsi="Times New Roman" w:cs="Times New Roman"/>
        </w:rPr>
        <w:t xml:space="preserve">) is targeted towards vendors, who can ensure </w:t>
      </w:r>
      <w:r w:rsidR="00D653C7" w:rsidRPr="00203B63">
        <w:rPr>
          <w:rFonts w:ascii="Times New Roman" w:hAnsi="Times New Roman" w:cs="Times New Roman"/>
        </w:rPr>
        <w:t>and produce the final consultancy report</w:t>
      </w:r>
      <w:r w:rsidRPr="00203B63">
        <w:rPr>
          <w:rFonts w:ascii="Times New Roman" w:hAnsi="Times New Roman" w:cs="Times New Roman"/>
        </w:rPr>
        <w:t xml:space="preserve"> with substantial capabilities, qualifications and experiences in the provision of high-level quality standards</w:t>
      </w:r>
      <w:r w:rsidR="00D653C7" w:rsidRPr="00203B63">
        <w:rPr>
          <w:rFonts w:ascii="Times New Roman" w:hAnsi="Times New Roman" w:cs="Times New Roman"/>
        </w:rPr>
        <w:t xml:space="preserve"> related to assessing and feasibility study for potential implementation of an electronic monitoring program for the KP supported by OMiK</w:t>
      </w:r>
      <w:r w:rsidRPr="00203B63">
        <w:rPr>
          <w:rFonts w:ascii="Times New Roman" w:hAnsi="Times New Roman" w:cs="Times New Roman"/>
        </w:rPr>
        <w:t xml:space="preserve">. </w:t>
      </w:r>
    </w:p>
    <w:p w14:paraId="3718CF81" w14:textId="77777777" w:rsidR="00D653C7" w:rsidRPr="00203B63" w:rsidRDefault="00D653C7" w:rsidP="00203B63">
      <w:pPr>
        <w:spacing w:after="0" w:line="240" w:lineRule="auto"/>
        <w:ind w:left="360"/>
        <w:rPr>
          <w:rFonts w:ascii="Times New Roman" w:hAnsi="Times New Roman" w:cs="Times New Roman"/>
        </w:rPr>
      </w:pPr>
    </w:p>
    <w:p w14:paraId="063DBE2F" w14:textId="4339B3E3"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The OSCE</w:t>
      </w:r>
      <w:r w:rsidR="00D653C7" w:rsidRPr="00203B63">
        <w:rPr>
          <w:rFonts w:ascii="Times New Roman" w:hAnsi="Times New Roman" w:cs="Times New Roman"/>
        </w:rPr>
        <w:t>/OMiK</w:t>
      </w:r>
      <w:r w:rsidRPr="00203B63">
        <w:rPr>
          <w:rFonts w:ascii="Times New Roman" w:hAnsi="Times New Roman" w:cs="Times New Roman"/>
        </w:rPr>
        <w:t xml:space="preserve">, reserve the right to modify or even not procure the services as </w:t>
      </w:r>
      <w:r w:rsidR="00A26BDD" w:rsidRPr="00203B63">
        <w:rPr>
          <w:rFonts w:ascii="Times New Roman" w:hAnsi="Times New Roman" w:cs="Times New Roman"/>
        </w:rPr>
        <w:t>requested herein.</w:t>
      </w:r>
    </w:p>
    <w:p w14:paraId="1FB7AA93" w14:textId="4DDD6560"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 xml:space="preserve">Vendors </w:t>
      </w:r>
      <w:proofErr w:type="gramStart"/>
      <w:r w:rsidRPr="00203B63">
        <w:rPr>
          <w:rFonts w:ascii="Times New Roman" w:hAnsi="Times New Roman" w:cs="Times New Roman"/>
        </w:rPr>
        <w:t>are requested</w:t>
      </w:r>
      <w:proofErr w:type="gramEnd"/>
      <w:r w:rsidRPr="00203B63">
        <w:rPr>
          <w:rFonts w:ascii="Times New Roman" w:hAnsi="Times New Roman" w:cs="Times New Roman"/>
        </w:rPr>
        <w:t xml:space="preserve"> to express interest in the forthcoming tender but this will in no way obligate them to submit a proposal. </w:t>
      </w:r>
    </w:p>
    <w:p w14:paraId="4186E1BA" w14:textId="77777777" w:rsidR="00D653C7" w:rsidRPr="00203B63" w:rsidRDefault="00D653C7" w:rsidP="00203B63">
      <w:pPr>
        <w:spacing w:after="0" w:line="240" w:lineRule="auto"/>
        <w:ind w:left="360"/>
        <w:rPr>
          <w:rFonts w:ascii="Times New Roman" w:hAnsi="Times New Roman" w:cs="Times New Roman"/>
        </w:rPr>
      </w:pPr>
    </w:p>
    <w:p w14:paraId="6B86BE9E" w14:textId="6E8E6BD8"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 xml:space="preserve">The </w:t>
      </w:r>
      <w:proofErr w:type="spellStart"/>
      <w:r w:rsidRPr="00203B63">
        <w:rPr>
          <w:rFonts w:ascii="Times New Roman" w:hAnsi="Times New Roman" w:cs="Times New Roman"/>
        </w:rPr>
        <w:t>EoI</w:t>
      </w:r>
      <w:proofErr w:type="spellEnd"/>
      <w:r w:rsidRPr="00203B63">
        <w:rPr>
          <w:rFonts w:ascii="Times New Roman" w:hAnsi="Times New Roman" w:cs="Times New Roman"/>
        </w:rPr>
        <w:t xml:space="preserve"> is not an invitation for submission of a bid or proposal and is not a pre-selection of vendors.</w:t>
      </w:r>
    </w:p>
    <w:p w14:paraId="68CC1E0D" w14:textId="77777777" w:rsidR="00D653C7" w:rsidRPr="00203B63" w:rsidRDefault="00D653C7" w:rsidP="00203B63">
      <w:pPr>
        <w:spacing w:after="0" w:line="240" w:lineRule="auto"/>
        <w:ind w:left="360"/>
        <w:rPr>
          <w:rFonts w:ascii="Times New Roman" w:hAnsi="Times New Roman" w:cs="Times New Roman"/>
        </w:rPr>
      </w:pPr>
    </w:p>
    <w:p w14:paraId="304A35BE" w14:textId="29FC9147" w:rsidR="00503EF5" w:rsidRPr="00877C9A" w:rsidRDefault="00503EF5" w:rsidP="00203B63">
      <w:pPr>
        <w:pStyle w:val="ListParagraph"/>
        <w:numPr>
          <w:ilvl w:val="0"/>
          <w:numId w:val="1"/>
        </w:numPr>
        <w:spacing w:after="0" w:line="240" w:lineRule="auto"/>
        <w:rPr>
          <w:rFonts w:ascii="Times New Roman" w:hAnsi="Times New Roman" w:cs="Times New Roman"/>
          <w:b/>
          <w:color w:val="4472C4" w:themeColor="accent1"/>
        </w:rPr>
      </w:pPr>
      <w:r w:rsidRPr="00877C9A">
        <w:rPr>
          <w:rFonts w:ascii="Times New Roman" w:hAnsi="Times New Roman" w:cs="Times New Roman"/>
          <w:b/>
          <w:color w:val="4472C4" w:themeColor="accent1"/>
        </w:rPr>
        <w:t xml:space="preserve">Objectives </w:t>
      </w:r>
    </w:p>
    <w:p w14:paraId="6A98A0EC" w14:textId="77777777" w:rsidR="00503EF5" w:rsidRPr="00203B63" w:rsidRDefault="00503EF5" w:rsidP="00203B63">
      <w:pPr>
        <w:pStyle w:val="ListParagraph"/>
        <w:spacing w:after="0" w:line="240" w:lineRule="auto"/>
        <w:rPr>
          <w:rFonts w:ascii="Times New Roman" w:hAnsi="Times New Roman" w:cs="Times New Roman"/>
        </w:rPr>
      </w:pPr>
    </w:p>
    <w:p w14:paraId="0316979B" w14:textId="79A9B7CE" w:rsidR="00BC3265" w:rsidRPr="00203B63" w:rsidRDefault="00BC3265" w:rsidP="00203B63">
      <w:pPr>
        <w:tabs>
          <w:tab w:val="right" w:pos="9027"/>
        </w:tabs>
        <w:spacing w:after="0" w:line="240" w:lineRule="auto"/>
        <w:ind w:left="360"/>
        <w:jc w:val="both"/>
        <w:rPr>
          <w:rFonts w:ascii="Times New Roman" w:hAnsi="Times New Roman" w:cs="Times New Roman"/>
        </w:rPr>
      </w:pPr>
      <w:r w:rsidRPr="00203B63">
        <w:rPr>
          <w:rFonts w:ascii="Times New Roman" w:hAnsi="Times New Roman" w:cs="Times New Roman"/>
        </w:rPr>
        <w:t xml:space="preserve">Produce the final consultancy report and recommendations for further action focusing on, but </w:t>
      </w:r>
      <w:proofErr w:type="gramStart"/>
      <w:r w:rsidRPr="00203B63">
        <w:rPr>
          <w:rFonts w:ascii="Times New Roman" w:hAnsi="Times New Roman" w:cs="Times New Roman"/>
        </w:rPr>
        <w:t>may not be limited</w:t>
      </w:r>
      <w:proofErr w:type="gramEnd"/>
      <w:r w:rsidRPr="00203B63">
        <w:rPr>
          <w:rFonts w:ascii="Times New Roman" w:hAnsi="Times New Roman" w:cs="Times New Roman"/>
        </w:rPr>
        <w:t xml:space="preserve"> to, the below:</w:t>
      </w:r>
    </w:p>
    <w:p w14:paraId="7EFD46EE" w14:textId="77777777" w:rsidR="00D653C7" w:rsidRPr="00203B63" w:rsidRDefault="00D653C7" w:rsidP="00203B63">
      <w:pPr>
        <w:tabs>
          <w:tab w:val="right" w:pos="9027"/>
        </w:tabs>
        <w:spacing w:after="0" w:line="240" w:lineRule="auto"/>
        <w:ind w:left="360"/>
        <w:jc w:val="both"/>
        <w:rPr>
          <w:rFonts w:ascii="Times New Roman" w:hAnsi="Times New Roman" w:cs="Times New Roman"/>
        </w:rPr>
      </w:pPr>
    </w:p>
    <w:p w14:paraId="14C2BF59"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Long-term strategic management and continued funding streams. Potential overrun costs and financial evaluation/impacts to the KP budget; </w:t>
      </w:r>
    </w:p>
    <w:p w14:paraId="0E3368FE"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Connectivity in both internal and external capabilities of KP, and reliance thereto regarding</w:t>
      </w:r>
      <w:r w:rsidRPr="00203B63">
        <w:rPr>
          <w:rFonts w:ascii="Times New Roman" w:hAnsi="Times New Roman" w:cs="Times New Roman"/>
          <w:b/>
          <w:bCs/>
        </w:rPr>
        <w:t xml:space="preserve"> </w:t>
      </w:r>
      <w:r w:rsidRPr="00203B63">
        <w:rPr>
          <w:rStyle w:val="Strong"/>
          <w:rFonts w:ascii="Times New Roman" w:hAnsi="Times New Roman" w:cs="Times New Roman"/>
          <w:b w:val="0"/>
          <w:bCs w:val="0"/>
          <w:shd w:val="clear" w:color="auto" w:fill="FFFFFF"/>
        </w:rPr>
        <w:t>disparities in effects concerning Radio Frequency (</w:t>
      </w:r>
      <w:r w:rsidRPr="00203B63">
        <w:rPr>
          <w:rStyle w:val="HTMLAcronym"/>
          <w:rFonts w:ascii="Times New Roman" w:hAnsi="Times New Roman" w:cs="Times New Roman"/>
          <w:shd w:val="clear" w:color="auto" w:fill="FFFFFF"/>
        </w:rPr>
        <w:t>RF</w:t>
      </w:r>
      <w:r w:rsidRPr="00203B63">
        <w:rPr>
          <w:rStyle w:val="Strong"/>
          <w:rFonts w:ascii="Times New Roman" w:hAnsi="Times New Roman" w:cs="Times New Roman"/>
          <w:b w:val="0"/>
          <w:bCs w:val="0"/>
          <w:shd w:val="clear" w:color="auto" w:fill="FFFFFF"/>
        </w:rPr>
        <w:t>) and Global Positioning Systems</w:t>
      </w:r>
      <w:r w:rsidRPr="00203B63">
        <w:rPr>
          <w:rStyle w:val="Strong"/>
          <w:rFonts w:ascii="Times New Roman" w:hAnsi="Times New Roman" w:cs="Times New Roman"/>
          <w:shd w:val="clear" w:color="auto" w:fill="FFFFFF"/>
        </w:rPr>
        <w:t xml:space="preserve"> (</w:t>
      </w:r>
      <w:r w:rsidRPr="00203B63">
        <w:rPr>
          <w:rStyle w:val="HTMLAcronym"/>
          <w:rFonts w:ascii="Times New Roman" w:hAnsi="Times New Roman" w:cs="Times New Roman"/>
          <w:shd w:val="clear" w:color="auto" w:fill="FFFFFF"/>
        </w:rPr>
        <w:t>GPS</w:t>
      </w:r>
      <w:r w:rsidRPr="00203B63">
        <w:rPr>
          <w:rStyle w:val="Strong"/>
          <w:rFonts w:ascii="Times New Roman" w:hAnsi="Times New Roman" w:cs="Times New Roman"/>
          <w:shd w:val="clear" w:color="auto" w:fill="FFFFFF"/>
        </w:rPr>
        <w:t>)</w:t>
      </w:r>
      <w:r w:rsidRPr="00203B63">
        <w:rPr>
          <w:rFonts w:ascii="Times New Roman" w:hAnsi="Times New Roman" w:cs="Times New Roman"/>
        </w:rPr>
        <w:t xml:space="preserve">, including data storage capacity needs and demands, and capabilities thereto (real time and mandate long-term requirements); </w:t>
      </w:r>
    </w:p>
    <w:p w14:paraId="654F9078"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As applicable, EU </w:t>
      </w:r>
      <w:proofErr w:type="spellStart"/>
      <w:r w:rsidRPr="00203B63">
        <w:rPr>
          <w:rFonts w:ascii="Times New Roman" w:hAnsi="Times New Roman" w:cs="Times New Roman"/>
        </w:rPr>
        <w:t>Aquis</w:t>
      </w:r>
      <w:proofErr w:type="spellEnd"/>
      <w:r w:rsidRPr="00203B63">
        <w:rPr>
          <w:rFonts w:ascii="Times New Roman" w:hAnsi="Times New Roman" w:cs="Times New Roman"/>
        </w:rPr>
        <w:t xml:space="preserve"> and/or EU best practices, related impacts and responsibilities toward membership consideration; </w:t>
      </w:r>
    </w:p>
    <w:p w14:paraId="38662E46"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Ability or otherwise regarding managing a judicial order stream mandating electronic monitoring for domestic violence offenders and other offender categories, and possible unintentional consequences whereby electronic monitoring becomes overwhelming for KP as a judicial </w:t>
      </w:r>
      <w:r w:rsidRPr="00203B63">
        <w:rPr>
          <w:rFonts w:ascii="Times New Roman" w:hAnsi="Times New Roman" w:cs="Times New Roman"/>
          <w:shd w:val="clear" w:color="auto" w:fill="FFFFFF"/>
        </w:rPr>
        <w:t>standalone measure</w:t>
      </w:r>
      <w:r w:rsidRPr="00203B63">
        <w:rPr>
          <w:rFonts w:ascii="Times New Roman" w:hAnsi="Times New Roman" w:cs="Times New Roman"/>
        </w:rPr>
        <w:t xml:space="preserve">; </w:t>
      </w:r>
    </w:p>
    <w:p w14:paraId="430A15BC"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Human resources management - staff, volunteers, board members, target population strategic management related to administering signal breaches, as well as </w:t>
      </w:r>
      <w:r w:rsidRPr="00203B63">
        <w:rPr>
          <w:rFonts w:ascii="Times New Roman" w:hAnsi="Times New Roman" w:cs="Times New Roman"/>
          <w:shd w:val="clear" w:color="auto" w:fill="FFFFFF"/>
        </w:rPr>
        <w:t xml:space="preserve">reported false breaches; </w:t>
      </w:r>
    </w:p>
    <w:p w14:paraId="74F0B31F" w14:textId="77777777"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Physical resources - location, building, equipment, infrastructure requirements and data storage infrastructure, and mission critical infrastructure needs and related legal demands; </w:t>
      </w:r>
    </w:p>
    <w:p w14:paraId="5114A6B2" w14:textId="489D0BEF" w:rsidR="00BC3265" w:rsidRPr="00203B63" w:rsidRDefault="00BC3265" w:rsidP="00203B63">
      <w:pPr>
        <w:pStyle w:val="ListParagraph"/>
        <w:numPr>
          <w:ilvl w:val="0"/>
          <w:numId w:val="5"/>
        </w:numPr>
        <w:shd w:val="clear" w:color="auto" w:fill="FFFFFF"/>
        <w:spacing w:after="0" w:line="240" w:lineRule="auto"/>
        <w:jc w:val="both"/>
        <w:rPr>
          <w:rFonts w:ascii="Times New Roman" w:hAnsi="Times New Roman" w:cs="Times New Roman"/>
        </w:rPr>
      </w:pPr>
      <w:r w:rsidRPr="00203B63">
        <w:rPr>
          <w:rFonts w:ascii="Times New Roman" w:hAnsi="Times New Roman" w:cs="Times New Roman"/>
        </w:rPr>
        <w:t xml:space="preserve">Financial and budgetary assessments - grants, funding agencies, other sources of income post an -principle foreign country investment over a two-year period (e.g. 2022-2024); and </w:t>
      </w:r>
    </w:p>
    <w:p w14:paraId="1704B778" w14:textId="6F03133F" w:rsidR="00BC3265" w:rsidRPr="00203B63" w:rsidRDefault="00BC3265" w:rsidP="00203B63">
      <w:pPr>
        <w:numPr>
          <w:ilvl w:val="0"/>
          <w:numId w:val="5"/>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Recommendations: What lessons </w:t>
      </w:r>
      <w:proofErr w:type="gramStart"/>
      <w:r w:rsidRPr="00203B63">
        <w:rPr>
          <w:rFonts w:ascii="Times New Roman" w:hAnsi="Times New Roman" w:cs="Times New Roman"/>
        </w:rPr>
        <w:t>can be drawn</w:t>
      </w:r>
      <w:proofErr w:type="gramEnd"/>
      <w:r w:rsidRPr="00203B63">
        <w:rPr>
          <w:rFonts w:ascii="Times New Roman" w:hAnsi="Times New Roman" w:cs="Times New Roman"/>
        </w:rPr>
        <w:t xml:space="preserve"> from the support that could be of value to Mission’s further capacity building activities in this field? </w:t>
      </w:r>
    </w:p>
    <w:p w14:paraId="2BF183DA" w14:textId="074D9AF0" w:rsidR="00503EF5" w:rsidRPr="00203B63" w:rsidRDefault="00503EF5" w:rsidP="00203B63">
      <w:pPr>
        <w:spacing w:after="0" w:line="240" w:lineRule="auto"/>
        <w:rPr>
          <w:rFonts w:ascii="Times New Roman" w:hAnsi="Times New Roman" w:cs="Times New Roman"/>
        </w:rPr>
      </w:pPr>
    </w:p>
    <w:p w14:paraId="6E7E0694" w14:textId="1D8C26AF" w:rsidR="00503EF5" w:rsidRPr="00877C9A" w:rsidRDefault="00503EF5" w:rsidP="00203B63">
      <w:pPr>
        <w:pStyle w:val="ListParagraph"/>
        <w:numPr>
          <w:ilvl w:val="0"/>
          <w:numId w:val="1"/>
        </w:numPr>
        <w:spacing w:after="0" w:line="240" w:lineRule="auto"/>
        <w:rPr>
          <w:rFonts w:ascii="Times New Roman" w:hAnsi="Times New Roman" w:cs="Times New Roman"/>
          <w:b/>
          <w:color w:val="4472C4" w:themeColor="accent1"/>
        </w:rPr>
      </w:pPr>
      <w:r w:rsidRPr="00877C9A">
        <w:rPr>
          <w:rFonts w:ascii="Times New Roman" w:hAnsi="Times New Roman" w:cs="Times New Roman"/>
          <w:b/>
          <w:color w:val="4472C4" w:themeColor="accent1"/>
        </w:rPr>
        <w:t>Anticipated Mandatory Requirements</w:t>
      </w:r>
    </w:p>
    <w:p w14:paraId="24B4C9F6" w14:textId="77777777" w:rsidR="00D653C7" w:rsidRPr="00203B63" w:rsidRDefault="00D653C7" w:rsidP="00203B63">
      <w:pPr>
        <w:pStyle w:val="ListParagraph"/>
        <w:spacing w:after="0" w:line="240" w:lineRule="auto"/>
        <w:rPr>
          <w:rFonts w:ascii="Times New Roman" w:hAnsi="Times New Roman" w:cs="Times New Roman"/>
        </w:rPr>
      </w:pPr>
    </w:p>
    <w:p w14:paraId="770AE1A3" w14:textId="17E06335" w:rsidR="00BC3265" w:rsidRPr="00203B63" w:rsidRDefault="00BC3265" w:rsidP="00203B63">
      <w:pPr>
        <w:pStyle w:val="ListParagraph"/>
        <w:numPr>
          <w:ilvl w:val="0"/>
          <w:numId w:val="8"/>
        </w:numPr>
        <w:spacing w:after="0" w:line="240" w:lineRule="auto"/>
        <w:rPr>
          <w:rFonts w:ascii="Times New Roman" w:hAnsi="Times New Roman" w:cs="Times New Roman"/>
          <w:u w:val="single"/>
        </w:rPr>
      </w:pPr>
      <w:r w:rsidRPr="00203B63">
        <w:rPr>
          <w:rFonts w:ascii="Times New Roman" w:hAnsi="Times New Roman" w:cs="Times New Roman"/>
          <w:u w:val="single"/>
        </w:rPr>
        <w:t>Consultancy company:</w:t>
      </w:r>
    </w:p>
    <w:p w14:paraId="1E435353" w14:textId="77777777" w:rsidR="00D653C7" w:rsidRPr="00203B63" w:rsidRDefault="00D653C7" w:rsidP="00203B63">
      <w:pPr>
        <w:pStyle w:val="ListParagraph"/>
        <w:spacing w:after="0" w:line="240" w:lineRule="auto"/>
        <w:ind w:left="1080"/>
        <w:rPr>
          <w:rFonts w:ascii="Times New Roman" w:hAnsi="Times New Roman" w:cs="Times New Roman"/>
          <w:u w:val="single"/>
        </w:rPr>
      </w:pPr>
    </w:p>
    <w:p w14:paraId="777F1390" w14:textId="77777777" w:rsidR="00BC3265" w:rsidRPr="00203B63" w:rsidRDefault="00BC3265" w:rsidP="00203B63">
      <w:pPr>
        <w:numPr>
          <w:ilvl w:val="0"/>
          <w:numId w:val="6"/>
        </w:numPr>
        <w:autoSpaceDE w:val="0"/>
        <w:autoSpaceDN w:val="0"/>
        <w:adjustRightInd w:val="0"/>
        <w:spacing w:after="0" w:line="240" w:lineRule="auto"/>
        <w:rPr>
          <w:rFonts w:ascii="Times New Roman" w:hAnsi="Times New Roman" w:cs="Times New Roman"/>
        </w:rPr>
      </w:pPr>
      <w:r w:rsidRPr="00203B63">
        <w:rPr>
          <w:rFonts w:ascii="Times New Roman" w:hAnsi="Times New Roman" w:cs="Times New Roman"/>
        </w:rPr>
        <w:t xml:space="preserve">A lawfully licensed consultancy entity, meeting the relevant licensing and as applicable industrial standard,  with a proven record able to manage projects which include, but are not limited to, providing feasibility studies, </w:t>
      </w:r>
      <w:hyperlink r:id="rId10" w:tooltip="Consultant" w:history="1">
        <w:r w:rsidRPr="00203B63">
          <w:rPr>
            <w:rStyle w:val="Hyperlink"/>
            <w:rFonts w:ascii="Times New Roman" w:hAnsi="Times New Roman" w:cs="Times New Roman"/>
            <w:color w:val="auto"/>
            <w:u w:val="none"/>
            <w:shd w:val="clear" w:color="auto" w:fill="FFFFFF"/>
          </w:rPr>
          <w:t>consulting</w:t>
        </w:r>
      </w:hyperlink>
      <w:r w:rsidRPr="00203B63">
        <w:rPr>
          <w:rFonts w:ascii="Times New Roman" w:hAnsi="Times New Roman" w:cs="Times New Roman"/>
          <w:shd w:val="clear" w:color="auto" w:fill="FFFFFF"/>
        </w:rPr>
        <w:t>, </w:t>
      </w:r>
      <w:hyperlink r:id="rId11" w:tooltip="Corporate services" w:history="1">
        <w:r w:rsidRPr="00203B63">
          <w:rPr>
            <w:rStyle w:val="Hyperlink"/>
            <w:rFonts w:ascii="Times New Roman" w:hAnsi="Times New Roman" w:cs="Times New Roman"/>
            <w:color w:val="auto"/>
            <w:u w:val="none"/>
            <w:shd w:val="clear" w:color="auto" w:fill="FFFFFF"/>
          </w:rPr>
          <w:t>financial, advisory</w:t>
        </w:r>
      </w:hyperlink>
      <w:r w:rsidRPr="00203B63">
        <w:rPr>
          <w:rFonts w:ascii="Times New Roman" w:hAnsi="Times New Roman" w:cs="Times New Roman"/>
          <w:shd w:val="clear" w:color="auto" w:fill="FFFFFF"/>
        </w:rPr>
        <w:t>, </w:t>
      </w:r>
      <w:hyperlink r:id="rId12" w:tooltip="Legal" w:history="1">
        <w:r w:rsidRPr="00203B63">
          <w:rPr>
            <w:rStyle w:val="Hyperlink"/>
            <w:rFonts w:ascii="Times New Roman" w:hAnsi="Times New Roman" w:cs="Times New Roman"/>
            <w:color w:val="auto"/>
            <w:u w:val="none"/>
            <w:shd w:val="clear" w:color="auto" w:fill="FFFFFF"/>
          </w:rPr>
          <w:t>legal</w:t>
        </w:r>
      </w:hyperlink>
      <w:r w:rsidRPr="00203B63">
        <w:rPr>
          <w:rFonts w:ascii="Times New Roman" w:hAnsi="Times New Roman" w:cs="Times New Roman"/>
          <w:shd w:val="clear" w:color="auto" w:fill="FFFFFF"/>
        </w:rPr>
        <w:t> services/consultancy related to security sector fields</w:t>
      </w:r>
      <w:r w:rsidRPr="00203B63">
        <w:rPr>
          <w:rFonts w:ascii="Times New Roman" w:hAnsi="Times New Roman" w:cs="Times New Roman"/>
        </w:rPr>
        <w:t>;</w:t>
      </w:r>
    </w:p>
    <w:p w14:paraId="611E6423" w14:textId="77777777" w:rsidR="00BC3265" w:rsidRPr="00203B63" w:rsidRDefault="00BC3265" w:rsidP="00203B63">
      <w:pPr>
        <w:numPr>
          <w:ilvl w:val="0"/>
          <w:numId w:val="6"/>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Having proven track record and capacity to complete the work with resources within the firm or ability to contract independent contractors; access to support resources as may be needed to support employees and or independent contractor assigned; availability of key personnel and managerial capacity to perform the contracted tasking;</w:t>
      </w:r>
    </w:p>
    <w:p w14:paraId="65F4710C" w14:textId="77777777" w:rsidR="00BC3265" w:rsidRPr="00203B63" w:rsidRDefault="00BC3265" w:rsidP="00203B63">
      <w:pPr>
        <w:numPr>
          <w:ilvl w:val="0"/>
          <w:numId w:val="6"/>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 At least five (5) years’ provable business experiences conducting external project feasibility studies, evaluations, and assessments in the security sector;</w:t>
      </w:r>
    </w:p>
    <w:p w14:paraId="6DA1CD7F" w14:textId="77777777" w:rsidR="00BC3265" w:rsidRPr="00203B63" w:rsidRDefault="00BC3265" w:rsidP="00203B63">
      <w:pPr>
        <w:numPr>
          <w:ilvl w:val="0"/>
          <w:numId w:val="6"/>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Proven work experiences in developing research methodologies, conducting interviews and using other type of research methods;  </w:t>
      </w:r>
    </w:p>
    <w:p w14:paraId="73556FCE" w14:textId="77777777" w:rsidR="00BC3265" w:rsidRPr="00203B63" w:rsidRDefault="00BC3265" w:rsidP="00203B63">
      <w:pPr>
        <w:numPr>
          <w:ilvl w:val="0"/>
          <w:numId w:val="6"/>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Professional fluency in English; and</w:t>
      </w:r>
    </w:p>
    <w:p w14:paraId="2FAF169E" w14:textId="77777777" w:rsidR="00BC3265" w:rsidRPr="00203B63" w:rsidRDefault="00BC3265" w:rsidP="00203B63">
      <w:pPr>
        <w:numPr>
          <w:ilvl w:val="0"/>
          <w:numId w:val="6"/>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Demonstrated ability to conduct and have in-place best practices regarding background checks and verification of employees and/or independent contractors regarding overall professional suitability to the required terms of reference objective(s).</w:t>
      </w:r>
    </w:p>
    <w:p w14:paraId="6B036AB6" w14:textId="77777777" w:rsidR="00BC3265" w:rsidRPr="00203B63" w:rsidRDefault="00BC3265" w:rsidP="00203B63">
      <w:pPr>
        <w:spacing w:after="0" w:line="240" w:lineRule="auto"/>
        <w:ind w:left="990"/>
        <w:rPr>
          <w:rFonts w:ascii="Times New Roman" w:hAnsi="Times New Roman" w:cs="Times New Roman"/>
          <w:u w:val="single"/>
        </w:rPr>
      </w:pPr>
    </w:p>
    <w:p w14:paraId="111AC57A" w14:textId="54C7B57B" w:rsidR="00BC3265" w:rsidRPr="00203B63" w:rsidRDefault="00BC3265" w:rsidP="00203B63">
      <w:pPr>
        <w:spacing w:after="0" w:line="240" w:lineRule="auto"/>
        <w:ind w:firstLine="720"/>
        <w:rPr>
          <w:rFonts w:ascii="Times New Roman" w:hAnsi="Times New Roman" w:cs="Times New Roman"/>
          <w:u w:val="single"/>
        </w:rPr>
      </w:pPr>
      <w:r w:rsidRPr="00203B63">
        <w:rPr>
          <w:rFonts w:ascii="Times New Roman" w:hAnsi="Times New Roman" w:cs="Times New Roman"/>
        </w:rPr>
        <w:t xml:space="preserve">b. </w:t>
      </w:r>
      <w:r w:rsidRPr="00203B63">
        <w:rPr>
          <w:rFonts w:ascii="Times New Roman" w:hAnsi="Times New Roman" w:cs="Times New Roman"/>
          <w:u w:val="single"/>
        </w:rPr>
        <w:t xml:space="preserve">Consultancy </w:t>
      </w:r>
      <w:r w:rsidR="005B5F5E">
        <w:rPr>
          <w:rFonts w:ascii="Times New Roman" w:hAnsi="Times New Roman" w:cs="Times New Roman"/>
          <w:u w:val="single"/>
        </w:rPr>
        <w:t xml:space="preserve">company internal employee or company subcontracted </w:t>
      </w:r>
      <w:r w:rsidRPr="00203B63">
        <w:rPr>
          <w:rFonts w:ascii="Times New Roman" w:hAnsi="Times New Roman" w:cs="Times New Roman"/>
          <w:u w:val="single"/>
        </w:rPr>
        <w:t>experts:</w:t>
      </w:r>
    </w:p>
    <w:p w14:paraId="4B169616" w14:textId="77777777" w:rsidR="00BC3265" w:rsidRPr="00203B63" w:rsidRDefault="00BC3265" w:rsidP="00203B63">
      <w:pPr>
        <w:numPr>
          <w:ilvl w:val="0"/>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lastRenderedPageBreak/>
        <w:t>Minimum ten (10) years of relevant professional experience in conducting research regarding assigned employees and/or independent contractors and her/his respective specific tasking.</w:t>
      </w:r>
    </w:p>
    <w:p w14:paraId="3C88AFBF" w14:textId="77777777" w:rsidR="00BC3265" w:rsidRPr="00203B63" w:rsidRDefault="00BC3265" w:rsidP="00203B63">
      <w:pPr>
        <w:numPr>
          <w:ilvl w:val="0"/>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Employees or independent contractors assigned to the feasibility study must have provable and verified by the consultancy company skillset(s) respective of the overall and specific objective, but not limited to, criteria meeting:</w:t>
      </w:r>
    </w:p>
    <w:p w14:paraId="62CAFF7C" w14:textId="77777777" w:rsidR="00BC3265" w:rsidRPr="00203B63" w:rsidRDefault="00BC3265" w:rsidP="00203B63">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Academic degrees, technical skills, and related certifications commensurate with the field of expertise. </w:t>
      </w:r>
    </w:p>
    <w:p w14:paraId="20B834BB" w14:textId="77777777" w:rsidR="00BC3265" w:rsidRPr="00203B63" w:rsidRDefault="00BC3265" w:rsidP="00203B63">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Proven ability to conduct complex research or investigations, provide advice or recommendations that form the basis for taking of a directed and sustainable course of action.</w:t>
      </w:r>
    </w:p>
    <w:p w14:paraId="55CBA700" w14:textId="77777777" w:rsidR="00BC3265" w:rsidRPr="00203B63" w:rsidRDefault="00BC3265" w:rsidP="00203B63">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Flexibility, adaptability, and the ability to work under pressure and with limited </w:t>
      </w:r>
      <w:proofErr w:type="gramStart"/>
      <w:r w:rsidRPr="00203B63">
        <w:rPr>
          <w:rFonts w:ascii="Times New Roman" w:hAnsi="Times New Roman" w:cs="Times New Roman"/>
        </w:rPr>
        <w:t>time frames</w:t>
      </w:r>
      <w:proofErr w:type="gramEnd"/>
      <w:r w:rsidRPr="00203B63">
        <w:rPr>
          <w:rFonts w:ascii="Times New Roman" w:hAnsi="Times New Roman" w:cs="Times New Roman"/>
        </w:rPr>
        <w:t>.</w:t>
      </w:r>
    </w:p>
    <w:p w14:paraId="00D28644" w14:textId="77777777" w:rsidR="00BC3265" w:rsidRPr="00203B63" w:rsidRDefault="00BC3265" w:rsidP="00203B63">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Demonstrated ability to have employees or independent contractors to work as a member of a team, with people of diverse cultural and religious backgrounds and demonstrated gender sensitivity; and</w:t>
      </w:r>
    </w:p>
    <w:p w14:paraId="27759B52" w14:textId="77777777" w:rsidR="00BC3265" w:rsidRPr="00203B63" w:rsidRDefault="00BC3265" w:rsidP="00203B63">
      <w:pPr>
        <w:numPr>
          <w:ilvl w:val="0"/>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Professional fluency in English </w:t>
      </w:r>
    </w:p>
    <w:p w14:paraId="65D4709B" w14:textId="77777777" w:rsidR="00BC3265" w:rsidRPr="00203B63" w:rsidRDefault="00BC3265" w:rsidP="00203B63">
      <w:pPr>
        <w:spacing w:after="0" w:line="240" w:lineRule="auto"/>
        <w:ind w:left="990"/>
        <w:rPr>
          <w:rFonts w:ascii="Times New Roman" w:hAnsi="Times New Roman" w:cs="Times New Roman"/>
        </w:rPr>
      </w:pPr>
    </w:p>
    <w:p w14:paraId="6AB2F26C" w14:textId="4AAF1D2B" w:rsidR="00503EF5" w:rsidRPr="00877C9A" w:rsidRDefault="00503EF5" w:rsidP="00203B63">
      <w:pPr>
        <w:pStyle w:val="ListParagraph"/>
        <w:numPr>
          <w:ilvl w:val="0"/>
          <w:numId w:val="1"/>
        </w:numPr>
        <w:spacing w:after="0" w:line="240" w:lineRule="auto"/>
        <w:rPr>
          <w:rFonts w:ascii="Times New Roman" w:hAnsi="Times New Roman" w:cs="Times New Roman"/>
          <w:b/>
        </w:rPr>
      </w:pPr>
      <w:r w:rsidRPr="00877C9A">
        <w:rPr>
          <w:rFonts w:ascii="Times New Roman" w:hAnsi="Times New Roman" w:cs="Times New Roman"/>
          <w:b/>
          <w:color w:val="4472C4" w:themeColor="accent1"/>
        </w:rPr>
        <w:t xml:space="preserve">Next Steps and Anticipated Timelines </w:t>
      </w:r>
    </w:p>
    <w:p w14:paraId="35CB49B0" w14:textId="77777777" w:rsidR="00503EF5" w:rsidRPr="00203B63" w:rsidRDefault="00503EF5" w:rsidP="00203B63">
      <w:pPr>
        <w:pStyle w:val="ListParagraph"/>
        <w:spacing w:after="0" w:line="240" w:lineRule="auto"/>
        <w:rPr>
          <w:rFonts w:ascii="Times New Roman" w:hAnsi="Times New Roman" w:cs="Times New Roman"/>
        </w:rPr>
      </w:pPr>
    </w:p>
    <w:p w14:paraId="15953318" w14:textId="41C06BA9" w:rsidR="00503EF5" w:rsidRPr="00203B63" w:rsidRDefault="00D653C7" w:rsidP="00203B63">
      <w:pPr>
        <w:pStyle w:val="ListParagraph"/>
        <w:spacing w:after="0" w:line="240" w:lineRule="auto"/>
        <w:rPr>
          <w:rFonts w:ascii="Times New Roman" w:hAnsi="Times New Roman" w:cs="Times New Roman"/>
        </w:rPr>
      </w:pPr>
      <w:r w:rsidRPr="00203B63">
        <w:rPr>
          <w:rFonts w:ascii="Times New Roman" w:hAnsi="Times New Roman" w:cs="Times New Roman"/>
        </w:rPr>
        <w:t>2021</w:t>
      </w:r>
      <w:r w:rsidR="00503EF5" w:rsidRPr="00203B63">
        <w:rPr>
          <w:rFonts w:ascii="Times New Roman" w:hAnsi="Times New Roman" w:cs="Times New Roman"/>
        </w:rPr>
        <w:t xml:space="preserve"> – End </w:t>
      </w:r>
      <w:r w:rsidRPr="00203B63">
        <w:rPr>
          <w:rFonts w:ascii="Times New Roman" w:hAnsi="Times New Roman" w:cs="Times New Roman"/>
        </w:rPr>
        <w:t>December</w:t>
      </w:r>
    </w:p>
    <w:p w14:paraId="2C2E9BCF" w14:textId="77777777" w:rsidR="00D653C7" w:rsidRPr="00203B63" w:rsidRDefault="00D653C7"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Request for Expression of Interest (</w:t>
      </w:r>
      <w:proofErr w:type="spellStart"/>
      <w:r w:rsidRPr="00203B63">
        <w:rPr>
          <w:rFonts w:ascii="Times New Roman" w:hAnsi="Times New Roman" w:cs="Times New Roman"/>
        </w:rPr>
        <w:t>EoI</w:t>
      </w:r>
      <w:proofErr w:type="spellEnd"/>
      <w:r w:rsidRPr="00203B63">
        <w:rPr>
          <w:rFonts w:ascii="Times New Roman" w:hAnsi="Times New Roman" w:cs="Times New Roman"/>
        </w:rPr>
        <w:t xml:space="preserve">) </w:t>
      </w:r>
    </w:p>
    <w:p w14:paraId="3B4AB2E1" w14:textId="2CC9F1F0" w:rsidR="00503EF5" w:rsidRPr="00203B63" w:rsidRDefault="00D653C7"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Review Expression of Interest (</w:t>
      </w:r>
      <w:proofErr w:type="spellStart"/>
      <w:r w:rsidRPr="00203B63">
        <w:rPr>
          <w:rFonts w:ascii="Times New Roman" w:hAnsi="Times New Roman" w:cs="Times New Roman"/>
        </w:rPr>
        <w:t>EoI</w:t>
      </w:r>
      <w:proofErr w:type="spellEnd"/>
      <w:r w:rsidRPr="00203B63">
        <w:rPr>
          <w:rFonts w:ascii="Times New Roman" w:hAnsi="Times New Roman" w:cs="Times New Roman"/>
        </w:rPr>
        <w:t>)</w:t>
      </w:r>
      <w:r w:rsidR="00503EF5" w:rsidRPr="00203B63">
        <w:rPr>
          <w:rFonts w:ascii="Times New Roman" w:hAnsi="Times New Roman" w:cs="Times New Roman"/>
        </w:rPr>
        <w:t xml:space="preserve"> </w:t>
      </w:r>
    </w:p>
    <w:p w14:paraId="6FC37EF6" w14:textId="7C5C5321" w:rsidR="00503EF5" w:rsidRPr="00203B63" w:rsidRDefault="00203B63"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Potential p</w:t>
      </w:r>
      <w:r w:rsidR="00503EF5" w:rsidRPr="00203B63">
        <w:rPr>
          <w:rFonts w:ascii="Times New Roman" w:hAnsi="Times New Roman" w:cs="Times New Roman"/>
        </w:rPr>
        <w:t xml:space="preserve">roposal submission </w:t>
      </w:r>
      <w:r w:rsidRPr="00203B63">
        <w:rPr>
          <w:rFonts w:ascii="Times New Roman" w:hAnsi="Times New Roman" w:cs="Times New Roman"/>
        </w:rPr>
        <w:t>to begin assessment/feasibility study</w:t>
      </w:r>
    </w:p>
    <w:p w14:paraId="7CEE06E8" w14:textId="7E055A7E" w:rsidR="00203B63" w:rsidRPr="00203B63" w:rsidRDefault="00203B63"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Potential (time available in calendar year) conclusion and review of assessment/feasibility study.</w:t>
      </w:r>
    </w:p>
    <w:p w14:paraId="25263AF9" w14:textId="3A320DD4" w:rsidR="00203B63" w:rsidRPr="00203B63" w:rsidRDefault="00203B63"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Potential issuance request for technical proposals</w:t>
      </w:r>
    </w:p>
    <w:p w14:paraId="46B13088" w14:textId="77777777" w:rsidR="00203B63" w:rsidRPr="00203B63" w:rsidRDefault="00203B63"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 xml:space="preserve">Evaluation technical proposal </w:t>
      </w:r>
    </w:p>
    <w:p w14:paraId="602922BB" w14:textId="169FB597" w:rsidR="00203B63" w:rsidRPr="00203B63" w:rsidRDefault="00203B63" w:rsidP="00203B63">
      <w:pPr>
        <w:pStyle w:val="ListParagraph"/>
        <w:numPr>
          <w:ilvl w:val="0"/>
          <w:numId w:val="2"/>
        </w:numPr>
        <w:spacing w:after="0" w:line="240" w:lineRule="auto"/>
        <w:rPr>
          <w:rFonts w:ascii="Times New Roman" w:hAnsi="Times New Roman" w:cs="Times New Roman"/>
        </w:rPr>
      </w:pPr>
      <w:r w:rsidRPr="00203B63">
        <w:rPr>
          <w:rFonts w:ascii="Times New Roman" w:hAnsi="Times New Roman" w:cs="Times New Roman"/>
        </w:rPr>
        <w:t>Evaluation financial proposal</w:t>
      </w:r>
    </w:p>
    <w:p w14:paraId="63156F9A" w14:textId="77777777" w:rsidR="00503EF5" w:rsidRPr="00203B63" w:rsidRDefault="00503EF5" w:rsidP="00203B63">
      <w:pPr>
        <w:pStyle w:val="ListParagraph"/>
        <w:spacing w:after="0" w:line="240" w:lineRule="auto"/>
        <w:rPr>
          <w:rFonts w:ascii="Times New Roman" w:hAnsi="Times New Roman" w:cs="Times New Roman"/>
        </w:rPr>
      </w:pPr>
    </w:p>
    <w:p w14:paraId="2EBDA96E" w14:textId="74FA5694" w:rsidR="00503EF5" w:rsidRPr="00877C9A" w:rsidRDefault="00503EF5" w:rsidP="00203B63">
      <w:pPr>
        <w:spacing w:after="0" w:line="240" w:lineRule="auto"/>
        <w:rPr>
          <w:rFonts w:ascii="Times New Roman" w:hAnsi="Times New Roman" w:cs="Times New Roman"/>
          <w:b/>
          <w:color w:val="4472C4" w:themeColor="accent1"/>
        </w:rPr>
      </w:pPr>
    </w:p>
    <w:p w14:paraId="24A731FF" w14:textId="3BE7DAB7" w:rsidR="00503EF5" w:rsidRPr="00877C9A" w:rsidRDefault="00503EF5" w:rsidP="00203B63">
      <w:pPr>
        <w:pStyle w:val="ListParagraph"/>
        <w:numPr>
          <w:ilvl w:val="0"/>
          <w:numId w:val="1"/>
        </w:numPr>
        <w:spacing w:after="0" w:line="240" w:lineRule="auto"/>
        <w:rPr>
          <w:rFonts w:ascii="Times New Roman" w:hAnsi="Times New Roman" w:cs="Times New Roman"/>
          <w:b/>
          <w:color w:val="4472C4" w:themeColor="accent1"/>
        </w:rPr>
      </w:pPr>
      <w:r w:rsidRPr="00877C9A">
        <w:rPr>
          <w:rFonts w:ascii="Times New Roman" w:hAnsi="Times New Roman" w:cs="Times New Roman"/>
          <w:b/>
          <w:color w:val="4472C4" w:themeColor="accent1"/>
        </w:rPr>
        <w:t xml:space="preserve">Requested Responses </w:t>
      </w:r>
    </w:p>
    <w:p w14:paraId="737F89EC" w14:textId="77777777" w:rsidR="00203B63" w:rsidRPr="00203B63" w:rsidRDefault="00203B63" w:rsidP="00203B63">
      <w:pPr>
        <w:spacing w:after="0" w:line="240" w:lineRule="auto"/>
        <w:rPr>
          <w:rFonts w:ascii="Times New Roman" w:hAnsi="Times New Roman" w:cs="Times New Roman"/>
        </w:rPr>
      </w:pPr>
    </w:p>
    <w:p w14:paraId="7377200F" w14:textId="5FB99056"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 xml:space="preserve">Please respond by email to </w:t>
      </w:r>
      <w:proofErr w:type="gramStart"/>
      <w:r w:rsidR="00FA0B69">
        <w:t>procurement.omik@osce.org</w:t>
      </w:r>
      <w:r w:rsidRPr="00203B63">
        <w:rPr>
          <w:rFonts w:ascii="Times New Roman" w:hAnsi="Times New Roman" w:cs="Times New Roman"/>
        </w:rPr>
        <w:t xml:space="preserve">  returning</w:t>
      </w:r>
      <w:proofErr w:type="gramEnd"/>
      <w:r w:rsidRPr="00203B63">
        <w:rPr>
          <w:rFonts w:ascii="Times New Roman" w:hAnsi="Times New Roman" w:cs="Times New Roman"/>
        </w:rPr>
        <w:t xml:space="preserve"> the filled in and signed </w:t>
      </w:r>
      <w:proofErr w:type="spellStart"/>
      <w:r w:rsidRPr="00203B63">
        <w:rPr>
          <w:rFonts w:ascii="Times New Roman" w:hAnsi="Times New Roman" w:cs="Times New Roman"/>
        </w:rPr>
        <w:t>EoI</w:t>
      </w:r>
      <w:proofErr w:type="spellEnd"/>
      <w:r w:rsidRPr="00203B63">
        <w:rPr>
          <w:rFonts w:ascii="Times New Roman" w:hAnsi="Times New Roman" w:cs="Times New Roman"/>
        </w:rPr>
        <w:t xml:space="preserve"> Response Form (Annex </w:t>
      </w:r>
      <w:r w:rsidR="00203B63" w:rsidRPr="00203B63">
        <w:rPr>
          <w:rFonts w:ascii="Times New Roman" w:hAnsi="Times New Roman" w:cs="Times New Roman"/>
        </w:rPr>
        <w:t>1</w:t>
      </w:r>
      <w:r w:rsidRPr="00203B63">
        <w:rPr>
          <w:rFonts w:ascii="Times New Roman" w:hAnsi="Times New Roman" w:cs="Times New Roman"/>
        </w:rPr>
        <w:t xml:space="preserve">), should you become interested to be invited participate in the upcoming competitive bidding. </w:t>
      </w:r>
    </w:p>
    <w:p w14:paraId="504BF5C2" w14:textId="77777777" w:rsidR="00203B63" w:rsidRPr="00203B63" w:rsidRDefault="00203B63" w:rsidP="00203B63">
      <w:pPr>
        <w:spacing w:after="0" w:line="240" w:lineRule="auto"/>
        <w:ind w:left="360"/>
        <w:rPr>
          <w:rFonts w:ascii="Times New Roman" w:hAnsi="Times New Roman" w:cs="Times New Roman"/>
        </w:rPr>
      </w:pPr>
    </w:p>
    <w:p w14:paraId="2F00D21B" w14:textId="0F1D4066" w:rsidR="00503EF5" w:rsidRPr="00203B63"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 xml:space="preserve">Kindly confirm the knowledge and experience does your company possess in the area of the above mentioned requirements, bearing in mind the anticipated mandatory requirements, under point 4 above. We are looking forward to </w:t>
      </w:r>
      <w:r w:rsidR="00203B63" w:rsidRPr="00203B63">
        <w:rPr>
          <w:rFonts w:ascii="Times New Roman" w:hAnsi="Times New Roman" w:cs="Times New Roman"/>
        </w:rPr>
        <w:t>hear from</w:t>
      </w:r>
      <w:r w:rsidRPr="00203B63">
        <w:rPr>
          <w:rFonts w:ascii="Times New Roman" w:hAnsi="Times New Roman" w:cs="Times New Roman"/>
        </w:rPr>
        <w:t xml:space="preserve"> the interested companies by Thursday </w:t>
      </w:r>
      <w:r w:rsidR="001975A2">
        <w:rPr>
          <w:rFonts w:ascii="Times New Roman" w:hAnsi="Times New Roman" w:cs="Times New Roman"/>
        </w:rPr>
        <w:t>19</w:t>
      </w:r>
      <w:r w:rsidR="00203B63" w:rsidRPr="00203B63">
        <w:rPr>
          <w:rFonts w:ascii="Times New Roman" w:hAnsi="Times New Roman" w:cs="Times New Roman"/>
        </w:rPr>
        <w:t xml:space="preserve"> November 2021</w:t>
      </w:r>
      <w:r w:rsidRPr="00203B63">
        <w:rPr>
          <w:rFonts w:ascii="Times New Roman" w:hAnsi="Times New Roman" w:cs="Times New Roman"/>
        </w:rPr>
        <w:t xml:space="preserve">, 12.00 hours (CET). </w:t>
      </w:r>
    </w:p>
    <w:p w14:paraId="1FB70A5B" w14:textId="77777777" w:rsidR="00503EF5" w:rsidRPr="00203B63" w:rsidRDefault="00503EF5" w:rsidP="00203B63">
      <w:pPr>
        <w:spacing w:after="0" w:line="240" w:lineRule="auto"/>
        <w:rPr>
          <w:rFonts w:ascii="Times New Roman" w:hAnsi="Times New Roman" w:cs="Times New Roman"/>
        </w:rPr>
      </w:pPr>
    </w:p>
    <w:p w14:paraId="42D86261" w14:textId="2F79BCEC" w:rsidR="00503EF5" w:rsidRDefault="00503EF5" w:rsidP="00203B63">
      <w:pPr>
        <w:spacing w:after="0" w:line="240" w:lineRule="auto"/>
        <w:ind w:left="360"/>
        <w:rPr>
          <w:rFonts w:ascii="Times New Roman" w:hAnsi="Times New Roman" w:cs="Times New Roman"/>
        </w:rPr>
      </w:pPr>
      <w:r w:rsidRPr="00203B63">
        <w:rPr>
          <w:rFonts w:ascii="Times New Roman" w:hAnsi="Times New Roman" w:cs="Times New Roman"/>
        </w:rPr>
        <w:t>Annex - Annex 1: Response Form.</w:t>
      </w:r>
    </w:p>
    <w:p w14:paraId="6C517E8D" w14:textId="0D70D8BE" w:rsidR="00877C9A" w:rsidRDefault="00877C9A" w:rsidP="00203B63">
      <w:pPr>
        <w:spacing w:after="0" w:line="240" w:lineRule="auto"/>
        <w:ind w:left="360"/>
        <w:rPr>
          <w:rFonts w:ascii="Times New Roman" w:hAnsi="Times New Roman" w:cs="Times New Roman"/>
        </w:rPr>
      </w:pPr>
    </w:p>
    <w:p w14:paraId="3D37ABB1" w14:textId="1BC287C2" w:rsidR="00877C9A" w:rsidRDefault="00877C9A" w:rsidP="00203B63">
      <w:pPr>
        <w:spacing w:after="0" w:line="240" w:lineRule="auto"/>
        <w:ind w:left="360"/>
        <w:rPr>
          <w:rFonts w:ascii="Times New Roman" w:hAnsi="Times New Roman" w:cs="Times New Roman"/>
        </w:rPr>
      </w:pPr>
    </w:p>
    <w:p w14:paraId="10DEEAE1" w14:textId="52E58591" w:rsidR="00877C9A" w:rsidRDefault="00877C9A" w:rsidP="00203B63">
      <w:pPr>
        <w:spacing w:after="0" w:line="240" w:lineRule="auto"/>
        <w:ind w:left="360"/>
        <w:rPr>
          <w:rFonts w:ascii="Times New Roman" w:hAnsi="Times New Roman" w:cs="Times New Roman"/>
        </w:rPr>
      </w:pPr>
    </w:p>
    <w:p w14:paraId="4A41DE9F" w14:textId="5C065686" w:rsidR="00877C9A" w:rsidRDefault="00877C9A" w:rsidP="00203B63">
      <w:pPr>
        <w:spacing w:after="0" w:line="240" w:lineRule="auto"/>
        <w:ind w:left="360"/>
        <w:rPr>
          <w:rFonts w:ascii="Times New Roman" w:hAnsi="Times New Roman" w:cs="Times New Roman"/>
        </w:rPr>
      </w:pPr>
    </w:p>
    <w:p w14:paraId="7A322792" w14:textId="71250485" w:rsidR="00877C9A" w:rsidRDefault="00877C9A" w:rsidP="00203B63">
      <w:pPr>
        <w:spacing w:after="0" w:line="240" w:lineRule="auto"/>
        <w:ind w:left="360"/>
        <w:rPr>
          <w:rFonts w:ascii="Times New Roman" w:hAnsi="Times New Roman" w:cs="Times New Roman"/>
        </w:rPr>
      </w:pPr>
    </w:p>
    <w:p w14:paraId="342B6584" w14:textId="7FE254E3" w:rsidR="00877C9A" w:rsidRDefault="00877C9A" w:rsidP="00203B63">
      <w:pPr>
        <w:spacing w:after="0" w:line="240" w:lineRule="auto"/>
        <w:ind w:left="360"/>
        <w:rPr>
          <w:rFonts w:ascii="Times New Roman" w:hAnsi="Times New Roman" w:cs="Times New Roman"/>
        </w:rPr>
      </w:pPr>
    </w:p>
    <w:p w14:paraId="28DF83CC" w14:textId="21D0025A" w:rsidR="00877C9A" w:rsidRDefault="00877C9A" w:rsidP="00203B63">
      <w:pPr>
        <w:spacing w:after="0" w:line="240" w:lineRule="auto"/>
        <w:ind w:left="360"/>
        <w:rPr>
          <w:rFonts w:ascii="Times New Roman" w:hAnsi="Times New Roman" w:cs="Times New Roman"/>
        </w:rPr>
      </w:pPr>
    </w:p>
    <w:p w14:paraId="43F6F6FC" w14:textId="746DF58A" w:rsidR="00877C9A" w:rsidRDefault="00877C9A" w:rsidP="00203B63">
      <w:pPr>
        <w:spacing w:after="0" w:line="240" w:lineRule="auto"/>
        <w:ind w:left="360"/>
        <w:rPr>
          <w:rFonts w:ascii="Times New Roman" w:hAnsi="Times New Roman" w:cs="Times New Roman"/>
        </w:rPr>
      </w:pPr>
    </w:p>
    <w:p w14:paraId="3971A0BA" w14:textId="572FC122" w:rsidR="00877C9A" w:rsidRDefault="00877C9A" w:rsidP="00203B63">
      <w:pPr>
        <w:spacing w:after="0" w:line="240" w:lineRule="auto"/>
        <w:ind w:left="360"/>
        <w:rPr>
          <w:rFonts w:ascii="Times New Roman" w:hAnsi="Times New Roman" w:cs="Times New Roman"/>
        </w:rPr>
      </w:pPr>
    </w:p>
    <w:p w14:paraId="5E110CB7" w14:textId="4F21C0BD" w:rsidR="00877C9A" w:rsidRDefault="00877C9A" w:rsidP="00203B63">
      <w:pPr>
        <w:spacing w:after="0" w:line="240" w:lineRule="auto"/>
        <w:ind w:left="360"/>
        <w:rPr>
          <w:rFonts w:ascii="Times New Roman" w:hAnsi="Times New Roman" w:cs="Times New Roman"/>
        </w:rPr>
      </w:pPr>
    </w:p>
    <w:p w14:paraId="5CEC00F4" w14:textId="64ED78DD" w:rsidR="00877C9A" w:rsidRDefault="00877C9A" w:rsidP="00203B63">
      <w:pPr>
        <w:spacing w:after="0" w:line="240" w:lineRule="auto"/>
        <w:ind w:left="360"/>
        <w:rPr>
          <w:rFonts w:ascii="Times New Roman" w:hAnsi="Times New Roman" w:cs="Times New Roman"/>
        </w:rPr>
      </w:pPr>
    </w:p>
    <w:p w14:paraId="0542A987" w14:textId="696E6174" w:rsidR="00877C9A" w:rsidRDefault="00877C9A" w:rsidP="00203B63">
      <w:pPr>
        <w:spacing w:after="0" w:line="240" w:lineRule="auto"/>
        <w:ind w:left="360"/>
        <w:rPr>
          <w:rFonts w:ascii="Times New Roman" w:hAnsi="Times New Roman" w:cs="Times New Roman"/>
        </w:rPr>
      </w:pPr>
    </w:p>
    <w:p w14:paraId="4A9D8EEF" w14:textId="198140F7" w:rsidR="00877C9A" w:rsidRDefault="00877C9A" w:rsidP="00203B63">
      <w:pPr>
        <w:spacing w:after="0" w:line="240" w:lineRule="auto"/>
        <w:ind w:left="360"/>
        <w:rPr>
          <w:rFonts w:ascii="Times New Roman" w:hAnsi="Times New Roman" w:cs="Times New Roman"/>
        </w:rPr>
      </w:pPr>
    </w:p>
    <w:p w14:paraId="0EA60AEA" w14:textId="12FD7BEB" w:rsidR="00877C9A" w:rsidRDefault="00877C9A" w:rsidP="00203B63">
      <w:pPr>
        <w:spacing w:after="0" w:line="240" w:lineRule="auto"/>
        <w:ind w:left="360"/>
        <w:rPr>
          <w:rFonts w:ascii="Times New Roman" w:hAnsi="Times New Roman" w:cs="Times New Roman"/>
        </w:rPr>
      </w:pPr>
    </w:p>
    <w:p w14:paraId="21878FBC" w14:textId="68A1DCF6" w:rsidR="00877C9A" w:rsidRDefault="00877C9A" w:rsidP="00203B63">
      <w:pPr>
        <w:spacing w:after="0" w:line="240" w:lineRule="auto"/>
        <w:ind w:left="360"/>
        <w:rPr>
          <w:rFonts w:ascii="Times New Roman" w:hAnsi="Times New Roman" w:cs="Times New Roman"/>
        </w:rPr>
      </w:pPr>
    </w:p>
    <w:p w14:paraId="43F4D988" w14:textId="02CA0C16" w:rsidR="00877C9A" w:rsidRDefault="00877C9A" w:rsidP="004A4636">
      <w:pPr>
        <w:pStyle w:val="Heading1"/>
        <w:ind w:left="0"/>
      </w:pPr>
      <w:bookmarkStart w:id="0" w:name="_GoBack"/>
      <w:r>
        <w:t>ANNEX 1 – RESPONSE FORM</w:t>
      </w:r>
    </w:p>
    <w:bookmarkEnd w:id="0"/>
    <w:p w14:paraId="234A1FD5" w14:textId="77777777" w:rsidR="00877C9A" w:rsidRDefault="00877C9A" w:rsidP="00877C9A">
      <w:pPr>
        <w:spacing w:before="201"/>
        <w:ind w:left="606" w:right="606"/>
        <w:jc w:val="center"/>
        <w:rPr>
          <w:b/>
          <w:sz w:val="28"/>
        </w:rPr>
      </w:pPr>
      <w:r>
        <w:rPr>
          <w:b/>
          <w:sz w:val="28"/>
        </w:rPr>
        <w:t>Expression of Interest (</w:t>
      </w:r>
      <w:proofErr w:type="spellStart"/>
      <w:r>
        <w:rPr>
          <w:b/>
          <w:sz w:val="28"/>
        </w:rPr>
        <w:t>EoI</w:t>
      </w:r>
      <w:proofErr w:type="spellEnd"/>
      <w:r>
        <w:rPr>
          <w:b/>
          <w:sz w:val="28"/>
        </w:rPr>
        <w:t>)</w:t>
      </w:r>
    </w:p>
    <w:p w14:paraId="6DB3F7A8" w14:textId="77777777" w:rsidR="00877C9A" w:rsidRPr="00D808C6" w:rsidRDefault="00877C9A" w:rsidP="00877C9A">
      <w:pPr>
        <w:spacing w:before="200"/>
        <w:ind w:left="100"/>
        <w:jc w:val="center"/>
        <w:rPr>
          <w:rFonts w:ascii="Times New Roman" w:eastAsia="Times New Roman" w:hAnsi="Times New Roman" w:cs="Times New Roman"/>
          <w:b/>
          <w:color w:val="000000" w:themeColor="text1"/>
          <w:sz w:val="24"/>
          <w:szCs w:val="24"/>
        </w:rPr>
      </w:pPr>
      <w:r w:rsidRPr="00D808C6">
        <w:rPr>
          <w:rFonts w:ascii="Times New Roman" w:hAnsi="Times New Roman" w:cs="Times New Roman"/>
          <w:b/>
          <w:sz w:val="24"/>
          <w:szCs w:val="24"/>
        </w:rPr>
        <w:t xml:space="preserve">For the provision of services for to conduct a </w:t>
      </w:r>
      <w:r w:rsidRPr="00D808C6">
        <w:rPr>
          <w:rFonts w:ascii="Times New Roman" w:eastAsia="Times New Roman" w:hAnsi="Times New Roman" w:cs="Times New Roman"/>
          <w:b/>
          <w:color w:val="000000" w:themeColor="text1"/>
          <w:sz w:val="24"/>
          <w:szCs w:val="24"/>
        </w:rPr>
        <w:t xml:space="preserve">detailed feasibility study is needed by a </w:t>
      </w:r>
      <w:proofErr w:type="gramStart"/>
      <w:r w:rsidRPr="00D808C6">
        <w:rPr>
          <w:rFonts w:ascii="Times New Roman" w:eastAsia="Times New Roman" w:hAnsi="Times New Roman" w:cs="Times New Roman"/>
          <w:b/>
          <w:color w:val="000000" w:themeColor="text1"/>
          <w:sz w:val="24"/>
          <w:szCs w:val="24"/>
        </w:rPr>
        <w:t>company,</w:t>
      </w:r>
      <w:proofErr w:type="gramEnd"/>
      <w:r w:rsidRPr="00D808C6">
        <w:rPr>
          <w:rFonts w:ascii="Times New Roman" w:eastAsia="Times New Roman" w:hAnsi="Times New Roman" w:cs="Times New Roman"/>
          <w:b/>
          <w:color w:val="000000" w:themeColor="text1"/>
          <w:sz w:val="24"/>
          <w:szCs w:val="24"/>
        </w:rPr>
        <w:t xml:space="preserve"> and the findings would serve as a guide and reference for drafting an </w:t>
      </w:r>
      <w:proofErr w:type="spellStart"/>
      <w:r w:rsidRPr="00D808C6">
        <w:rPr>
          <w:rFonts w:ascii="Times New Roman" w:eastAsia="Times New Roman" w:hAnsi="Times New Roman" w:cs="Times New Roman"/>
          <w:b/>
          <w:color w:val="000000" w:themeColor="text1"/>
          <w:sz w:val="24"/>
          <w:szCs w:val="24"/>
        </w:rPr>
        <w:t>ExB</w:t>
      </w:r>
      <w:proofErr w:type="spellEnd"/>
      <w:r w:rsidRPr="00D808C6">
        <w:rPr>
          <w:rFonts w:ascii="Times New Roman" w:eastAsia="Times New Roman" w:hAnsi="Times New Roman" w:cs="Times New Roman"/>
          <w:b/>
          <w:color w:val="000000" w:themeColor="text1"/>
          <w:sz w:val="24"/>
          <w:szCs w:val="24"/>
        </w:rPr>
        <w:t xml:space="preserve"> Project, and potential implementation of the electronic monitoring program for Kosovo Police</w:t>
      </w:r>
    </w:p>
    <w:p w14:paraId="2C30DA99" w14:textId="77777777" w:rsidR="00877C9A" w:rsidRPr="00D808C6" w:rsidRDefault="00877C9A" w:rsidP="00877C9A">
      <w:pPr>
        <w:spacing w:before="200"/>
        <w:ind w:left="100"/>
        <w:jc w:val="center"/>
        <w:rPr>
          <w:rFonts w:ascii="Times New Roman" w:eastAsia="Times New Roman" w:hAnsi="Times New Roman" w:cs="Times New Roman"/>
          <w:b/>
          <w:color w:val="000000" w:themeColor="text1"/>
          <w:sz w:val="24"/>
          <w:szCs w:val="24"/>
        </w:rPr>
      </w:pPr>
    </w:p>
    <w:p w14:paraId="693EEF14" w14:textId="77777777" w:rsidR="00877C9A" w:rsidRDefault="00877C9A" w:rsidP="00877C9A">
      <w:pPr>
        <w:spacing w:before="200"/>
        <w:ind w:left="100"/>
        <w:rPr>
          <w:b/>
          <w:sz w:val="24"/>
        </w:rPr>
      </w:pPr>
      <w:r>
        <w:rPr>
          <w:sz w:val="24"/>
        </w:rPr>
        <w:t xml:space="preserve">Closing date/time: </w:t>
      </w:r>
      <w:r>
        <w:rPr>
          <w:b/>
          <w:sz w:val="24"/>
        </w:rPr>
        <w:t xml:space="preserve">19 November 2021, 12:00, CET </w:t>
      </w:r>
    </w:p>
    <w:p w14:paraId="2E66C7C1" w14:textId="77777777" w:rsidR="00877C9A" w:rsidRDefault="00877C9A" w:rsidP="00877C9A">
      <w:pPr>
        <w:pStyle w:val="BodyText"/>
        <w:spacing w:before="11"/>
        <w:ind w:left="0"/>
        <w:rPr>
          <w:b/>
          <w:sz w:val="23"/>
        </w:rPr>
      </w:pPr>
    </w:p>
    <w:p w14:paraId="380A09C3" w14:textId="77777777" w:rsidR="00877C9A" w:rsidRDefault="00877C9A" w:rsidP="00877C9A">
      <w:pPr>
        <w:pStyle w:val="BodyText"/>
      </w:pPr>
      <w:r>
        <w:t>Company Name:</w:t>
      </w:r>
    </w:p>
    <w:p w14:paraId="74253EBA" w14:textId="77777777" w:rsidR="00877C9A" w:rsidRDefault="00877C9A" w:rsidP="00877C9A">
      <w:pPr>
        <w:pStyle w:val="BodyText"/>
        <w:ind w:left="0"/>
      </w:pPr>
    </w:p>
    <w:p w14:paraId="53E44AF3" w14:textId="77777777" w:rsidR="00877C9A" w:rsidRDefault="00877C9A" w:rsidP="00877C9A">
      <w:pPr>
        <w:spacing w:before="1"/>
        <w:ind w:left="100"/>
        <w:rPr>
          <w:i/>
          <w:sz w:val="24"/>
        </w:rPr>
      </w:pPr>
      <w:r>
        <w:rPr>
          <w:sz w:val="24"/>
        </w:rPr>
        <w:t xml:space="preserve">Contact Person </w:t>
      </w:r>
      <w:r>
        <w:rPr>
          <w:i/>
          <w:sz w:val="24"/>
        </w:rPr>
        <w:t>(Please specify name, email and telephone):</w:t>
      </w:r>
    </w:p>
    <w:p w14:paraId="781C1CF9" w14:textId="77777777" w:rsidR="00877C9A" w:rsidRDefault="00877C9A" w:rsidP="00877C9A">
      <w:pPr>
        <w:pStyle w:val="BodyText"/>
        <w:tabs>
          <w:tab w:val="left" w:pos="6169"/>
        </w:tabs>
        <w:spacing w:before="201"/>
      </w:pPr>
      <w:r>
        <w:t>We /_/</w:t>
      </w:r>
      <w:r>
        <w:rPr>
          <w:spacing w:val="-1"/>
        </w:rPr>
        <w:t xml:space="preserve"> </w:t>
      </w:r>
      <w:r>
        <w:t>ARE</w:t>
      </w:r>
      <w:r>
        <w:rPr>
          <w:spacing w:val="-2"/>
        </w:rPr>
        <w:t xml:space="preserve"> </w:t>
      </w:r>
      <w:r>
        <w:t>INTERESTED</w:t>
      </w:r>
      <w:r>
        <w:tab/>
        <w:t>/_/ ARE NOT</w:t>
      </w:r>
      <w:r>
        <w:rPr>
          <w:spacing w:val="-4"/>
        </w:rPr>
        <w:t xml:space="preserve"> </w:t>
      </w:r>
      <w:r>
        <w:t>INTERESTED</w:t>
      </w:r>
    </w:p>
    <w:p w14:paraId="69906E59" w14:textId="77777777" w:rsidR="00877C9A" w:rsidRDefault="00877C9A" w:rsidP="00877C9A">
      <w:pPr>
        <w:pStyle w:val="BodyText"/>
        <w:spacing w:before="199"/>
      </w:pPr>
      <w:proofErr w:type="gramStart"/>
      <w:r>
        <w:t>to</w:t>
      </w:r>
      <w:proofErr w:type="gramEnd"/>
      <w:r>
        <w:t xml:space="preserve"> be invited to the forthcoming tender.</w:t>
      </w:r>
    </w:p>
    <w:p w14:paraId="64E629C4" w14:textId="77777777" w:rsidR="00877C9A" w:rsidRDefault="00877C9A" w:rsidP="00877C9A">
      <w:pPr>
        <w:pStyle w:val="BodyText"/>
        <w:spacing w:before="199"/>
        <w:ind w:right="91"/>
      </w:pPr>
      <w:r>
        <w:t xml:space="preserve">If you </w:t>
      </w:r>
      <w:r>
        <w:rPr>
          <w:b/>
        </w:rPr>
        <w:t xml:space="preserve">ARE </w:t>
      </w:r>
      <w:r>
        <w:t xml:space="preserve">interested to </w:t>
      </w:r>
      <w:proofErr w:type="gramStart"/>
      <w:r>
        <w:t>be invited</w:t>
      </w:r>
      <w:proofErr w:type="gramEnd"/>
      <w:r>
        <w:t xml:space="preserve"> to the forthcoming tender, please answer the Anticipated Mandatory Requirements, in the table below:</w:t>
      </w:r>
    </w:p>
    <w:p w14:paraId="6CDD3172" w14:textId="77777777" w:rsidR="00877C9A" w:rsidRDefault="00877C9A" w:rsidP="00877C9A">
      <w:pPr>
        <w:pStyle w:val="BodyText"/>
        <w:spacing w:before="6" w:after="1"/>
        <w:ind w:left="0"/>
        <w:rPr>
          <w:sz w:val="16"/>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5670"/>
        <w:gridCol w:w="2693"/>
      </w:tblGrid>
      <w:tr w:rsidR="00877C9A" w14:paraId="69D37102" w14:textId="77777777" w:rsidTr="00EB7635">
        <w:trPr>
          <w:trHeight w:val="1250"/>
        </w:trPr>
        <w:tc>
          <w:tcPr>
            <w:tcW w:w="427" w:type="dxa"/>
          </w:tcPr>
          <w:p w14:paraId="7CBEDC2B" w14:textId="77777777" w:rsidR="00877C9A" w:rsidRDefault="00877C9A" w:rsidP="00EB7635">
            <w:pPr>
              <w:pStyle w:val="TableParagraph"/>
              <w:ind w:left="0"/>
              <w:rPr>
                <w:rFonts w:ascii="Times New Roman"/>
                <w:sz w:val="24"/>
              </w:rPr>
            </w:pPr>
          </w:p>
        </w:tc>
        <w:tc>
          <w:tcPr>
            <w:tcW w:w="5670" w:type="dxa"/>
          </w:tcPr>
          <w:p w14:paraId="41116444" w14:textId="77777777" w:rsidR="00877C9A" w:rsidRDefault="00877C9A" w:rsidP="00EB7635">
            <w:pPr>
              <w:pStyle w:val="TableParagraph"/>
              <w:spacing w:line="292" w:lineRule="exact"/>
              <w:ind w:left="943"/>
              <w:rPr>
                <w:b/>
                <w:sz w:val="24"/>
              </w:rPr>
            </w:pPr>
            <w:r>
              <w:rPr>
                <w:b/>
                <w:sz w:val="24"/>
              </w:rPr>
              <w:t>Anticipated Mandatory Requirements</w:t>
            </w:r>
          </w:p>
        </w:tc>
        <w:tc>
          <w:tcPr>
            <w:tcW w:w="2693" w:type="dxa"/>
          </w:tcPr>
          <w:p w14:paraId="53406E47" w14:textId="77777777" w:rsidR="00877C9A" w:rsidRDefault="00877C9A" w:rsidP="00EB7635">
            <w:pPr>
              <w:pStyle w:val="TableParagraph"/>
              <w:spacing w:line="292" w:lineRule="exact"/>
              <w:ind w:left="305"/>
              <w:rPr>
                <w:b/>
                <w:sz w:val="24"/>
              </w:rPr>
            </w:pPr>
            <w:r>
              <w:rPr>
                <w:b/>
                <w:sz w:val="24"/>
              </w:rPr>
              <w:t>Vendor confirmation</w:t>
            </w:r>
          </w:p>
        </w:tc>
      </w:tr>
      <w:tr w:rsidR="00877C9A" w14:paraId="4FB6A809" w14:textId="77777777" w:rsidTr="00EB7635">
        <w:trPr>
          <w:trHeight w:val="1173"/>
        </w:trPr>
        <w:tc>
          <w:tcPr>
            <w:tcW w:w="427" w:type="dxa"/>
          </w:tcPr>
          <w:p w14:paraId="6FA3440C" w14:textId="77777777" w:rsidR="00877C9A" w:rsidRDefault="00877C9A" w:rsidP="00EB7635">
            <w:pPr>
              <w:pStyle w:val="TableParagraph"/>
              <w:spacing w:line="292" w:lineRule="exact"/>
              <w:ind w:left="89" w:right="104"/>
              <w:jc w:val="center"/>
              <w:rPr>
                <w:sz w:val="24"/>
              </w:rPr>
            </w:pPr>
            <w:r>
              <w:rPr>
                <w:sz w:val="24"/>
              </w:rPr>
              <w:t>1.</w:t>
            </w:r>
          </w:p>
        </w:tc>
        <w:tc>
          <w:tcPr>
            <w:tcW w:w="5670" w:type="dxa"/>
          </w:tcPr>
          <w:p w14:paraId="657676E5" w14:textId="77777777" w:rsidR="00877C9A" w:rsidRPr="00203B63" w:rsidRDefault="00877C9A" w:rsidP="00EB7635">
            <w:pPr>
              <w:adjustRightInd w:val="0"/>
              <w:jc w:val="both"/>
              <w:rPr>
                <w:rFonts w:ascii="Times New Roman" w:hAnsi="Times New Roman" w:cs="Times New Roman"/>
              </w:rPr>
            </w:pPr>
            <w:r w:rsidRPr="00203B63">
              <w:rPr>
                <w:rFonts w:ascii="Times New Roman" w:hAnsi="Times New Roman" w:cs="Times New Roman"/>
              </w:rPr>
              <w:t>Minimum ten (10) years of relevant professional experience in conducting research regarding assigned employees and/or independent contractors and her/his respective specific tasking.</w:t>
            </w:r>
          </w:p>
          <w:p w14:paraId="0CBC16D2" w14:textId="77777777" w:rsidR="00877C9A" w:rsidRDefault="00877C9A" w:rsidP="00EB7635">
            <w:pPr>
              <w:pStyle w:val="TableParagraph"/>
              <w:spacing w:before="1" w:line="273" w:lineRule="exact"/>
              <w:jc w:val="both"/>
              <w:rPr>
                <w:sz w:val="24"/>
              </w:rPr>
            </w:pPr>
          </w:p>
        </w:tc>
        <w:tc>
          <w:tcPr>
            <w:tcW w:w="2693" w:type="dxa"/>
          </w:tcPr>
          <w:p w14:paraId="26C431C9" w14:textId="77777777" w:rsidR="00877C9A" w:rsidRDefault="00877C9A" w:rsidP="00EB7635">
            <w:pPr>
              <w:pStyle w:val="TableParagraph"/>
              <w:ind w:left="0"/>
              <w:rPr>
                <w:rFonts w:ascii="Times New Roman"/>
                <w:sz w:val="24"/>
              </w:rPr>
            </w:pPr>
          </w:p>
        </w:tc>
      </w:tr>
      <w:tr w:rsidR="00877C9A" w14:paraId="5749E073" w14:textId="77777777" w:rsidTr="00EB7635">
        <w:trPr>
          <w:trHeight w:val="585"/>
        </w:trPr>
        <w:tc>
          <w:tcPr>
            <w:tcW w:w="427" w:type="dxa"/>
          </w:tcPr>
          <w:p w14:paraId="2D594E11" w14:textId="77777777" w:rsidR="00877C9A" w:rsidRDefault="00877C9A" w:rsidP="00EB7635">
            <w:pPr>
              <w:pStyle w:val="TableParagraph"/>
              <w:spacing w:line="292" w:lineRule="exact"/>
              <w:ind w:left="89" w:right="104"/>
              <w:jc w:val="center"/>
              <w:rPr>
                <w:sz w:val="24"/>
              </w:rPr>
            </w:pPr>
            <w:r>
              <w:rPr>
                <w:sz w:val="24"/>
              </w:rPr>
              <w:t>2.</w:t>
            </w:r>
          </w:p>
        </w:tc>
        <w:tc>
          <w:tcPr>
            <w:tcW w:w="5670" w:type="dxa"/>
          </w:tcPr>
          <w:p w14:paraId="5614B220" w14:textId="77777777" w:rsidR="00877C9A" w:rsidRPr="00203B63" w:rsidRDefault="00877C9A" w:rsidP="00EB7635">
            <w:pPr>
              <w:adjustRightInd w:val="0"/>
              <w:jc w:val="both"/>
              <w:rPr>
                <w:rFonts w:ascii="Times New Roman" w:hAnsi="Times New Roman" w:cs="Times New Roman"/>
              </w:rPr>
            </w:pPr>
            <w:r w:rsidRPr="00203B63">
              <w:rPr>
                <w:rFonts w:ascii="Times New Roman" w:hAnsi="Times New Roman" w:cs="Times New Roman"/>
              </w:rPr>
              <w:t>Employees or independent contractors assigned to the feasibility study must have provable and verified by the consultancy company skillset(s) respective of the overall and specific objective, but not limited to, criteria meeting:</w:t>
            </w:r>
          </w:p>
          <w:p w14:paraId="73024831" w14:textId="77777777" w:rsidR="00877C9A" w:rsidRPr="00203B63" w:rsidRDefault="00877C9A" w:rsidP="00877C9A">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Academic degrees, technical skills, and related certifications commensurate with the field of expertise. </w:t>
            </w:r>
          </w:p>
          <w:p w14:paraId="39988673" w14:textId="77777777" w:rsidR="00877C9A" w:rsidRPr="00203B63" w:rsidRDefault="00877C9A" w:rsidP="00877C9A">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Proven ability to conduct complex research or investigations, provide advice or recommendations that form the basis for taking of a directed and sustainable course of action.</w:t>
            </w:r>
          </w:p>
          <w:p w14:paraId="2B6AACFD" w14:textId="77777777" w:rsidR="00877C9A" w:rsidRPr="00203B63" w:rsidRDefault="00877C9A" w:rsidP="00877C9A">
            <w:pPr>
              <w:numPr>
                <w:ilvl w:val="1"/>
                <w:numId w:val="7"/>
              </w:numPr>
              <w:autoSpaceDE w:val="0"/>
              <w:autoSpaceDN w:val="0"/>
              <w:adjustRightInd w:val="0"/>
              <w:spacing w:after="0" w:line="240" w:lineRule="auto"/>
              <w:jc w:val="both"/>
              <w:rPr>
                <w:rFonts w:ascii="Times New Roman" w:hAnsi="Times New Roman" w:cs="Times New Roman"/>
              </w:rPr>
            </w:pPr>
            <w:r w:rsidRPr="00203B63">
              <w:rPr>
                <w:rFonts w:ascii="Times New Roman" w:hAnsi="Times New Roman" w:cs="Times New Roman"/>
              </w:rPr>
              <w:t xml:space="preserve">Flexibility, adaptability, and the ability to work under pressure and with limited </w:t>
            </w:r>
            <w:proofErr w:type="gramStart"/>
            <w:r w:rsidRPr="00203B63">
              <w:rPr>
                <w:rFonts w:ascii="Times New Roman" w:hAnsi="Times New Roman" w:cs="Times New Roman"/>
              </w:rPr>
              <w:t>time frames</w:t>
            </w:r>
            <w:proofErr w:type="gramEnd"/>
            <w:r w:rsidRPr="00203B63">
              <w:rPr>
                <w:rFonts w:ascii="Times New Roman" w:hAnsi="Times New Roman" w:cs="Times New Roman"/>
              </w:rPr>
              <w:t>.</w:t>
            </w:r>
          </w:p>
          <w:p w14:paraId="367B3D21" w14:textId="77777777" w:rsidR="00877C9A" w:rsidRDefault="00877C9A" w:rsidP="00EB7635">
            <w:pPr>
              <w:pStyle w:val="TableParagraph"/>
              <w:spacing w:line="273" w:lineRule="exact"/>
              <w:rPr>
                <w:sz w:val="24"/>
              </w:rPr>
            </w:pPr>
            <w:r w:rsidRPr="00203B63">
              <w:rPr>
                <w:rFonts w:ascii="Times New Roman" w:hAnsi="Times New Roman" w:cs="Times New Roman"/>
              </w:rPr>
              <w:t xml:space="preserve">Demonstrated ability to have employees or independent contractors to work as a member of a team, with people of diverse cultural and religious backgrounds and demonstrated </w:t>
            </w:r>
            <w:r w:rsidRPr="00203B63">
              <w:rPr>
                <w:rFonts w:ascii="Times New Roman" w:hAnsi="Times New Roman" w:cs="Times New Roman"/>
              </w:rPr>
              <w:lastRenderedPageBreak/>
              <w:t>gender sensitivity</w:t>
            </w:r>
          </w:p>
        </w:tc>
        <w:tc>
          <w:tcPr>
            <w:tcW w:w="2693" w:type="dxa"/>
          </w:tcPr>
          <w:p w14:paraId="30E4DEF3" w14:textId="77777777" w:rsidR="00877C9A" w:rsidRDefault="00877C9A" w:rsidP="00EB7635">
            <w:pPr>
              <w:pStyle w:val="TableParagraph"/>
              <w:ind w:left="0"/>
              <w:rPr>
                <w:rFonts w:ascii="Times New Roman"/>
                <w:sz w:val="24"/>
              </w:rPr>
            </w:pPr>
          </w:p>
        </w:tc>
      </w:tr>
      <w:tr w:rsidR="00877C9A" w14:paraId="379403FF" w14:textId="77777777" w:rsidTr="00EB7635">
        <w:trPr>
          <w:trHeight w:val="1171"/>
        </w:trPr>
        <w:tc>
          <w:tcPr>
            <w:tcW w:w="427" w:type="dxa"/>
          </w:tcPr>
          <w:p w14:paraId="48348341" w14:textId="77777777" w:rsidR="00877C9A" w:rsidRDefault="00877C9A" w:rsidP="00EB7635">
            <w:pPr>
              <w:pStyle w:val="TableParagraph"/>
              <w:spacing w:line="292" w:lineRule="exact"/>
              <w:ind w:left="89" w:right="104"/>
              <w:jc w:val="center"/>
              <w:rPr>
                <w:sz w:val="24"/>
              </w:rPr>
            </w:pPr>
            <w:r>
              <w:rPr>
                <w:sz w:val="24"/>
              </w:rPr>
              <w:t>3.</w:t>
            </w:r>
          </w:p>
        </w:tc>
        <w:tc>
          <w:tcPr>
            <w:tcW w:w="5670" w:type="dxa"/>
          </w:tcPr>
          <w:p w14:paraId="219C2889" w14:textId="77777777" w:rsidR="00877C9A" w:rsidRPr="00203B63" w:rsidRDefault="00877C9A" w:rsidP="00EB7635">
            <w:pPr>
              <w:adjustRightInd w:val="0"/>
              <w:jc w:val="both"/>
              <w:rPr>
                <w:rFonts w:ascii="Times New Roman" w:hAnsi="Times New Roman" w:cs="Times New Roman"/>
              </w:rPr>
            </w:pPr>
            <w:r w:rsidRPr="00203B63">
              <w:rPr>
                <w:rFonts w:ascii="Times New Roman" w:hAnsi="Times New Roman" w:cs="Times New Roman"/>
              </w:rPr>
              <w:t xml:space="preserve">Professional fluency in English </w:t>
            </w:r>
          </w:p>
          <w:p w14:paraId="7ECBD407" w14:textId="77777777" w:rsidR="00877C9A" w:rsidRDefault="00877C9A" w:rsidP="00EB7635">
            <w:pPr>
              <w:pStyle w:val="TableParagraph"/>
              <w:spacing w:line="273" w:lineRule="exact"/>
              <w:jc w:val="both"/>
              <w:rPr>
                <w:sz w:val="24"/>
              </w:rPr>
            </w:pPr>
          </w:p>
        </w:tc>
        <w:tc>
          <w:tcPr>
            <w:tcW w:w="2693" w:type="dxa"/>
          </w:tcPr>
          <w:p w14:paraId="6C91FC96" w14:textId="77777777" w:rsidR="00877C9A" w:rsidRDefault="00877C9A" w:rsidP="00EB7635">
            <w:pPr>
              <w:pStyle w:val="TableParagraph"/>
              <w:ind w:left="0"/>
              <w:rPr>
                <w:rFonts w:ascii="Times New Roman"/>
                <w:sz w:val="24"/>
              </w:rPr>
            </w:pPr>
          </w:p>
        </w:tc>
      </w:tr>
    </w:tbl>
    <w:p w14:paraId="446A3111" w14:textId="77777777" w:rsidR="00877C9A" w:rsidRDefault="00877C9A" w:rsidP="00877C9A">
      <w:pPr>
        <w:rPr>
          <w:rFonts w:ascii="Times New Roman"/>
          <w:sz w:val="24"/>
        </w:rPr>
        <w:sectPr w:rsidR="00877C9A" w:rsidSect="00877C9A">
          <w:footerReference w:type="default" r:id="rId13"/>
          <w:pgSz w:w="11910" w:h="16840"/>
          <w:pgMar w:top="660" w:right="1340" w:bottom="1600" w:left="1340" w:header="720" w:footer="1401" w:gutter="0"/>
          <w:pgNumType w:start="1"/>
          <w:cols w:space="720"/>
        </w:sectPr>
      </w:pPr>
    </w:p>
    <w:p w14:paraId="38E93470" w14:textId="77777777" w:rsidR="00877C9A" w:rsidRDefault="00877C9A" w:rsidP="00877C9A">
      <w:pPr>
        <w:pStyle w:val="BodyText"/>
        <w:spacing w:before="41"/>
        <w:ind w:right="880"/>
      </w:pPr>
      <w:r>
        <w:lastRenderedPageBreak/>
        <w:t xml:space="preserve">If you </w:t>
      </w:r>
      <w:r>
        <w:rPr>
          <w:b/>
        </w:rPr>
        <w:t xml:space="preserve">are NOT </w:t>
      </w:r>
      <w:r>
        <w:t xml:space="preserve">interested to </w:t>
      </w:r>
      <w:proofErr w:type="gramStart"/>
      <w:r>
        <w:t>be invited</w:t>
      </w:r>
      <w:proofErr w:type="gramEnd"/>
      <w:r>
        <w:t xml:space="preserve"> to the forthcoming tender, please specify the reason(s):</w:t>
      </w:r>
    </w:p>
    <w:p w14:paraId="658D8FAA" w14:textId="77777777" w:rsidR="00877C9A" w:rsidRDefault="00877C9A" w:rsidP="00877C9A">
      <w:pPr>
        <w:pStyle w:val="BodyText"/>
        <w:spacing w:before="199"/>
      </w:pPr>
      <w:r>
        <w:t>………………………………………………………………………………………………………………………………………………</w:t>
      </w:r>
    </w:p>
    <w:p w14:paraId="02CD6AF1" w14:textId="77777777" w:rsidR="00877C9A" w:rsidRDefault="00877C9A" w:rsidP="00877C9A">
      <w:pPr>
        <w:pStyle w:val="BodyText"/>
        <w:spacing w:before="149"/>
      </w:pPr>
      <w:r>
        <w:t>………………………………………………………………………………………………………………………………………………</w:t>
      </w:r>
    </w:p>
    <w:p w14:paraId="1D8C4E89" w14:textId="77777777" w:rsidR="00877C9A" w:rsidRDefault="00877C9A" w:rsidP="00877C9A">
      <w:pPr>
        <w:pStyle w:val="BodyText"/>
        <w:spacing w:before="146"/>
      </w:pPr>
      <w:r>
        <w:t>………………………………………………………………………………………………………………………………………………</w:t>
      </w:r>
    </w:p>
    <w:p w14:paraId="2AAD8CFA" w14:textId="77777777" w:rsidR="00877C9A" w:rsidRDefault="00877C9A" w:rsidP="00877C9A">
      <w:pPr>
        <w:pStyle w:val="BodyText"/>
        <w:spacing w:before="146"/>
      </w:pPr>
      <w:r>
        <w:t>………………………………………………………………………………………………………………………………………………</w:t>
      </w:r>
    </w:p>
    <w:p w14:paraId="5F062DEE" w14:textId="77777777" w:rsidR="00877C9A" w:rsidRDefault="00877C9A" w:rsidP="00877C9A">
      <w:pPr>
        <w:pStyle w:val="BodyText"/>
        <w:spacing w:before="146"/>
      </w:pPr>
      <w:r>
        <w:t>……………………………………………………</w:t>
      </w:r>
    </w:p>
    <w:p w14:paraId="0B1CFEDF" w14:textId="77777777" w:rsidR="00877C9A" w:rsidRDefault="00877C9A" w:rsidP="00877C9A">
      <w:pPr>
        <w:pStyle w:val="BodyText"/>
        <w:spacing w:before="4"/>
        <w:ind w:left="0"/>
        <w:rPr>
          <w:sz w:val="28"/>
        </w:rPr>
      </w:pPr>
    </w:p>
    <w:p w14:paraId="726A6AB4" w14:textId="77777777" w:rsidR="00877C9A" w:rsidRDefault="00877C9A" w:rsidP="00877C9A">
      <w:pPr>
        <w:pStyle w:val="BodyText"/>
      </w:pPr>
      <w:r>
        <w:t>Signature:</w:t>
      </w:r>
    </w:p>
    <w:p w14:paraId="778C7658" w14:textId="77777777" w:rsidR="00877C9A" w:rsidRDefault="00877C9A" w:rsidP="00877C9A">
      <w:pPr>
        <w:pStyle w:val="BodyText"/>
        <w:spacing w:before="202"/>
      </w:pPr>
      <w:r>
        <w:t>Date:</w:t>
      </w:r>
    </w:p>
    <w:p w14:paraId="62A51104" w14:textId="77777777" w:rsidR="00877C9A" w:rsidRDefault="00877C9A" w:rsidP="00877C9A">
      <w:pPr>
        <w:pStyle w:val="BodyText"/>
        <w:ind w:left="0"/>
      </w:pPr>
    </w:p>
    <w:p w14:paraId="718ABAD0" w14:textId="77777777" w:rsidR="00877C9A" w:rsidRDefault="00877C9A" w:rsidP="00877C9A">
      <w:pPr>
        <w:pStyle w:val="BodyText"/>
        <w:spacing w:before="10"/>
        <w:ind w:left="0"/>
        <w:rPr>
          <w:sz w:val="32"/>
        </w:rPr>
      </w:pPr>
    </w:p>
    <w:p w14:paraId="722DC122" w14:textId="6A1A42D1" w:rsidR="00877C9A" w:rsidRDefault="00877C9A" w:rsidP="00877C9A">
      <w:pPr>
        <w:ind w:left="606" w:right="606"/>
        <w:jc w:val="center"/>
        <w:rPr>
          <w:b/>
          <w:sz w:val="24"/>
        </w:rPr>
      </w:pPr>
      <w:r>
        <w:rPr>
          <w:sz w:val="24"/>
        </w:rPr>
        <w:t xml:space="preserve">Please return this form to </w:t>
      </w:r>
      <w:r w:rsidR="0041281A">
        <w:rPr>
          <w:b/>
          <w:sz w:val="24"/>
        </w:rPr>
        <w:t>procurement.omik</w:t>
      </w:r>
      <w:hyperlink r:id="rId14">
        <w:r>
          <w:rPr>
            <w:b/>
            <w:sz w:val="24"/>
            <w:u w:val="single"/>
          </w:rPr>
          <w:t>@osce.org</w:t>
        </w:r>
      </w:hyperlink>
    </w:p>
    <w:p w14:paraId="6057340E" w14:textId="5F5861EA" w:rsidR="00877C9A" w:rsidRDefault="00877C9A" w:rsidP="00877C9A">
      <w:pPr>
        <w:ind w:left="606" w:right="606"/>
        <w:jc w:val="center"/>
        <w:rPr>
          <w:sz w:val="24"/>
        </w:rPr>
      </w:pPr>
      <w:proofErr w:type="gramStart"/>
      <w:r>
        <w:rPr>
          <w:sz w:val="24"/>
        </w:rPr>
        <w:t>by</w:t>
      </w:r>
      <w:proofErr w:type="gramEnd"/>
      <w:r>
        <w:rPr>
          <w:sz w:val="24"/>
        </w:rPr>
        <w:t xml:space="preserve"> </w:t>
      </w:r>
      <w:r>
        <w:rPr>
          <w:b/>
          <w:sz w:val="24"/>
        </w:rPr>
        <w:t xml:space="preserve">Thursday </w:t>
      </w:r>
      <w:r w:rsidR="0041281A">
        <w:rPr>
          <w:b/>
          <w:sz w:val="24"/>
        </w:rPr>
        <w:t>19</w:t>
      </w:r>
      <w:r>
        <w:rPr>
          <w:b/>
          <w:sz w:val="24"/>
          <w:vertAlign w:val="superscript"/>
        </w:rPr>
        <w:t>th</w:t>
      </w:r>
      <w:r>
        <w:rPr>
          <w:b/>
          <w:sz w:val="24"/>
        </w:rPr>
        <w:t xml:space="preserve"> </w:t>
      </w:r>
      <w:r w:rsidR="0041281A">
        <w:rPr>
          <w:b/>
          <w:sz w:val="24"/>
        </w:rPr>
        <w:t>November 2021</w:t>
      </w:r>
      <w:r>
        <w:rPr>
          <w:b/>
          <w:sz w:val="24"/>
        </w:rPr>
        <w:t xml:space="preserve"> at 12:00 pm </w:t>
      </w:r>
      <w:r>
        <w:rPr>
          <w:sz w:val="24"/>
        </w:rPr>
        <w:t>(CET)</w:t>
      </w:r>
    </w:p>
    <w:p w14:paraId="078D903E" w14:textId="77777777" w:rsidR="00877C9A" w:rsidRPr="00203B63" w:rsidRDefault="00877C9A" w:rsidP="00203B63">
      <w:pPr>
        <w:spacing w:after="0" w:line="240" w:lineRule="auto"/>
        <w:ind w:left="360"/>
        <w:rPr>
          <w:rFonts w:ascii="Times New Roman" w:hAnsi="Times New Roman" w:cs="Times New Roman"/>
        </w:rPr>
      </w:pPr>
    </w:p>
    <w:sectPr w:rsidR="00877C9A" w:rsidRPr="00203B63">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C4C63" w14:textId="77777777" w:rsidR="002F2C2A" w:rsidRDefault="002F2C2A" w:rsidP="00495CFB">
      <w:pPr>
        <w:spacing w:after="0" w:line="240" w:lineRule="auto"/>
      </w:pPr>
      <w:r>
        <w:separator/>
      </w:r>
    </w:p>
  </w:endnote>
  <w:endnote w:type="continuationSeparator" w:id="0">
    <w:p w14:paraId="01DBD8B2" w14:textId="77777777" w:rsidR="002F2C2A" w:rsidRDefault="002F2C2A" w:rsidP="004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A687" w14:textId="77777777" w:rsidR="00877C9A" w:rsidRDefault="00877C9A">
    <w:pPr>
      <w:pStyle w:val="BodyText"/>
      <w:spacing w:line="14" w:lineRule="auto"/>
      <w:ind w:left="0"/>
      <w:rPr>
        <w:sz w:val="20"/>
      </w:rPr>
    </w:pPr>
    <w:r>
      <w:pict w14:anchorId="0C74DCEC">
        <v:shapetype id="_x0000_t202" coordsize="21600,21600" o:spt="202" path="m,l,21600r21600,l21600,xe">
          <v:stroke joinstyle="miter"/>
          <v:path gradientshapeok="t" o:connecttype="rect"/>
        </v:shapetype>
        <v:shape id="_x0000_s2052" type="#_x0000_t202" style="position:absolute;margin-left:505.1pt;margin-top:760.9pt;width:22.4pt;height:13.05pt;z-index:-251657216;mso-position-horizontal-relative:page;mso-position-vertical-relative:page" filled="f" stroked="f">
          <v:textbox inset="0,0,0,0">
            <w:txbxContent>
              <w:p w14:paraId="7A4C096C" w14:textId="6AF7F2B7" w:rsidR="00877C9A" w:rsidRDefault="00877C9A">
                <w:pPr>
                  <w:spacing w:line="245" w:lineRule="exact"/>
                  <w:ind w:left="60"/>
                </w:pPr>
                <w:r>
                  <w:fldChar w:fldCharType="begin"/>
                </w:r>
                <w:r>
                  <w:instrText xml:space="preserve"> PAGE </w:instrText>
                </w:r>
                <w:r>
                  <w:fldChar w:fldCharType="separate"/>
                </w:r>
                <w:r w:rsidR="004A4636">
                  <w:rPr>
                    <w:noProof/>
                  </w:rPr>
                  <w:t>6</w:t>
                </w:r>
                <w:r>
                  <w:fldChar w:fldCharType="end"/>
                </w:r>
                <w: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5FBC3" w14:textId="77777777" w:rsidR="002F2C2A" w:rsidRDefault="002F2C2A" w:rsidP="00495CFB">
      <w:pPr>
        <w:spacing w:after="0" w:line="240" w:lineRule="auto"/>
      </w:pPr>
      <w:r>
        <w:separator/>
      </w:r>
    </w:p>
  </w:footnote>
  <w:footnote w:type="continuationSeparator" w:id="0">
    <w:p w14:paraId="138EB3B7" w14:textId="77777777" w:rsidR="002F2C2A" w:rsidRDefault="002F2C2A" w:rsidP="00495CFB">
      <w:pPr>
        <w:spacing w:after="0" w:line="240" w:lineRule="auto"/>
      </w:pPr>
      <w:r>
        <w:continuationSeparator/>
      </w:r>
    </w:p>
  </w:footnote>
  <w:footnote w:id="1">
    <w:p w14:paraId="2BD76B9B" w14:textId="77777777" w:rsidR="00A26BDD" w:rsidRPr="003E3465" w:rsidRDefault="00A26BDD" w:rsidP="00A26BDD">
      <w:pPr>
        <w:pStyle w:val="FootnoteText"/>
        <w:rPr>
          <w:color w:val="FFFFFF" w:themeColor="background1"/>
          <w:sz w:val="16"/>
          <w:szCs w:val="16"/>
          <w:lang w:val="en-US"/>
        </w:rPr>
      </w:pPr>
      <w:r w:rsidRPr="003E3465">
        <w:rPr>
          <w:rStyle w:val="FootnoteReference"/>
          <w:color w:val="FFFFFF" w:themeColor="background1"/>
          <w:sz w:val="16"/>
          <w:szCs w:val="16"/>
        </w:rPr>
        <w:footnoteRef/>
      </w:r>
      <w:r w:rsidRPr="003E3465">
        <w:rPr>
          <w:color w:val="FFFFFF" w:themeColor="background1"/>
          <w:sz w:val="16"/>
          <w:szCs w:val="16"/>
          <w:lang w:val="en-US"/>
        </w:rPr>
        <w:t xml:space="preserve"> Law on the Electronic Supervisions of the Persons Whose Movement is Limited by the Court De</w:t>
      </w:r>
      <w:r>
        <w:rPr>
          <w:color w:val="FFFFFF" w:themeColor="background1"/>
          <w:sz w:val="16"/>
          <w:szCs w:val="16"/>
          <w:lang w:val="en-US"/>
        </w:rPr>
        <w:t xml:space="preserve">cision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CF1F" w14:textId="0F52DB95" w:rsidR="00203B63" w:rsidRDefault="0020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C1878" w14:textId="78BE9E05" w:rsidR="00203B63" w:rsidRDefault="0020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B473" w14:textId="16B0950D" w:rsidR="00203B63" w:rsidRDefault="0020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3C9"/>
    <w:multiLevelType w:val="hybridMultilevel"/>
    <w:tmpl w:val="C5E6B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A495E"/>
    <w:multiLevelType w:val="hybridMultilevel"/>
    <w:tmpl w:val="97E4B220"/>
    <w:lvl w:ilvl="0" w:tplc="1884033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5037B"/>
    <w:multiLevelType w:val="hybridMultilevel"/>
    <w:tmpl w:val="5B509EAC"/>
    <w:lvl w:ilvl="0" w:tplc="0409000F">
      <w:start w:val="1"/>
      <w:numFmt w:val="decimal"/>
      <w:lvlText w:val="%1."/>
      <w:lvlJc w:val="left"/>
      <w:pPr>
        <w:ind w:left="135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426649"/>
    <w:multiLevelType w:val="hybridMultilevel"/>
    <w:tmpl w:val="7CFA06A8"/>
    <w:lvl w:ilvl="0" w:tplc="0409000F">
      <w:start w:val="1"/>
      <w:numFmt w:val="decimal"/>
      <w:lvlText w:val="%1."/>
      <w:lvlJc w:val="left"/>
      <w:pPr>
        <w:ind w:left="135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072B7B"/>
    <w:multiLevelType w:val="hybridMultilevel"/>
    <w:tmpl w:val="9FBEAF1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E1855B9"/>
    <w:multiLevelType w:val="hybridMultilevel"/>
    <w:tmpl w:val="E0E41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33405D"/>
    <w:multiLevelType w:val="hybridMultilevel"/>
    <w:tmpl w:val="13FAE572"/>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EF42EC"/>
    <w:multiLevelType w:val="hybridMultilevel"/>
    <w:tmpl w:val="2EDE4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F5"/>
    <w:rsid w:val="000C3258"/>
    <w:rsid w:val="00184B01"/>
    <w:rsid w:val="001975A2"/>
    <w:rsid w:val="00203B63"/>
    <w:rsid w:val="002F2C2A"/>
    <w:rsid w:val="0041281A"/>
    <w:rsid w:val="00483C84"/>
    <w:rsid w:val="00495CFB"/>
    <w:rsid w:val="004A4636"/>
    <w:rsid w:val="004C7F3F"/>
    <w:rsid w:val="00503EF5"/>
    <w:rsid w:val="005B5F5E"/>
    <w:rsid w:val="00614501"/>
    <w:rsid w:val="0062794D"/>
    <w:rsid w:val="007C071B"/>
    <w:rsid w:val="00877C9A"/>
    <w:rsid w:val="008C5D3E"/>
    <w:rsid w:val="009369D9"/>
    <w:rsid w:val="00A26BDD"/>
    <w:rsid w:val="00A442DA"/>
    <w:rsid w:val="00AA077A"/>
    <w:rsid w:val="00BC3265"/>
    <w:rsid w:val="00BD27BE"/>
    <w:rsid w:val="00CD4F11"/>
    <w:rsid w:val="00D653C7"/>
    <w:rsid w:val="00FA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D51B2BB"/>
  <w15:chartTrackingRefBased/>
  <w15:docId w15:val="{7B1B4D2F-493B-4415-8441-DD7A6477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77C9A"/>
    <w:pPr>
      <w:widowControl w:val="0"/>
      <w:autoSpaceDE w:val="0"/>
      <w:autoSpaceDN w:val="0"/>
      <w:spacing w:before="44" w:after="0" w:line="240" w:lineRule="auto"/>
      <w:ind w:left="606" w:right="606"/>
      <w:jc w:val="center"/>
      <w:outlineLvl w:val="0"/>
    </w:pPr>
    <w:rPr>
      <w:rFonts w:ascii="Calibri" w:eastAsia="Calibri" w:hAnsi="Calibri" w:cs="Calibri"/>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F5"/>
    <w:pPr>
      <w:ind w:left="720"/>
      <w:contextualSpacing/>
    </w:pPr>
  </w:style>
  <w:style w:type="character" w:styleId="Hyperlink">
    <w:name w:val="Hyperlink"/>
    <w:basedOn w:val="DefaultParagraphFont"/>
    <w:uiPriority w:val="99"/>
    <w:unhideWhenUsed/>
    <w:rsid w:val="00503EF5"/>
    <w:rPr>
      <w:color w:val="0563C1" w:themeColor="hyperlink"/>
      <w:u w:val="single"/>
    </w:rPr>
  </w:style>
  <w:style w:type="character" w:customStyle="1" w:styleId="UnresolvedMention">
    <w:name w:val="Unresolved Mention"/>
    <w:basedOn w:val="DefaultParagraphFont"/>
    <w:uiPriority w:val="99"/>
    <w:semiHidden/>
    <w:unhideWhenUsed/>
    <w:rsid w:val="00503EF5"/>
    <w:rPr>
      <w:color w:val="605E5C"/>
      <w:shd w:val="clear" w:color="auto" w:fill="E1DFDD"/>
    </w:rPr>
  </w:style>
  <w:style w:type="character" w:styleId="FootnoteReference">
    <w:name w:val="footnote reference"/>
    <w:aliases w:val="Footnotes refss,Footnotes text,4_G,BVI fnr,16 Point,Superscript 6 Point,Footnote E"/>
    <w:uiPriority w:val="99"/>
    <w:rsid w:val="00A26BDD"/>
    <w:rPr>
      <w:rFonts w:ascii="Times New Roman" w:hAnsi="Times New Roman"/>
      <w:sz w:val="20"/>
      <w:vertAlign w:val="superscript"/>
    </w:rPr>
  </w:style>
  <w:style w:type="paragraph" w:styleId="FootnoteText">
    <w:name w:val="footnote text"/>
    <w:basedOn w:val="Normal"/>
    <w:link w:val="FootnoteTextChar"/>
    <w:uiPriority w:val="99"/>
    <w:rsid w:val="00A26BD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A26BDD"/>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BC3265"/>
    <w:rPr>
      <w:b/>
      <w:bCs/>
    </w:rPr>
  </w:style>
  <w:style w:type="character" w:styleId="HTMLAcronym">
    <w:name w:val="HTML Acronym"/>
    <w:basedOn w:val="DefaultParagraphFont"/>
    <w:uiPriority w:val="99"/>
    <w:semiHidden/>
    <w:unhideWhenUsed/>
    <w:rsid w:val="00BC3265"/>
  </w:style>
  <w:style w:type="paragraph" w:styleId="Header">
    <w:name w:val="header"/>
    <w:basedOn w:val="Normal"/>
    <w:link w:val="HeaderChar"/>
    <w:uiPriority w:val="99"/>
    <w:unhideWhenUsed/>
    <w:rsid w:val="00203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63"/>
  </w:style>
  <w:style w:type="paragraph" w:styleId="Footer">
    <w:name w:val="footer"/>
    <w:basedOn w:val="Normal"/>
    <w:link w:val="FooterChar"/>
    <w:uiPriority w:val="99"/>
    <w:unhideWhenUsed/>
    <w:rsid w:val="00203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63"/>
  </w:style>
  <w:style w:type="character" w:styleId="CommentReference">
    <w:name w:val="annotation reference"/>
    <w:basedOn w:val="DefaultParagraphFont"/>
    <w:uiPriority w:val="99"/>
    <w:semiHidden/>
    <w:unhideWhenUsed/>
    <w:rsid w:val="00483C84"/>
    <w:rPr>
      <w:sz w:val="16"/>
      <w:szCs w:val="16"/>
    </w:rPr>
  </w:style>
  <w:style w:type="paragraph" w:styleId="CommentText">
    <w:name w:val="annotation text"/>
    <w:basedOn w:val="Normal"/>
    <w:link w:val="CommentTextChar"/>
    <w:uiPriority w:val="99"/>
    <w:semiHidden/>
    <w:unhideWhenUsed/>
    <w:rsid w:val="00483C84"/>
    <w:pPr>
      <w:spacing w:line="240" w:lineRule="auto"/>
    </w:pPr>
    <w:rPr>
      <w:sz w:val="20"/>
      <w:szCs w:val="20"/>
    </w:rPr>
  </w:style>
  <w:style w:type="character" w:customStyle="1" w:styleId="CommentTextChar">
    <w:name w:val="Comment Text Char"/>
    <w:basedOn w:val="DefaultParagraphFont"/>
    <w:link w:val="CommentText"/>
    <w:uiPriority w:val="99"/>
    <w:semiHidden/>
    <w:rsid w:val="00483C84"/>
    <w:rPr>
      <w:sz w:val="20"/>
      <w:szCs w:val="20"/>
    </w:rPr>
  </w:style>
  <w:style w:type="paragraph" w:styleId="CommentSubject">
    <w:name w:val="annotation subject"/>
    <w:basedOn w:val="CommentText"/>
    <w:next w:val="CommentText"/>
    <w:link w:val="CommentSubjectChar"/>
    <w:uiPriority w:val="99"/>
    <w:semiHidden/>
    <w:unhideWhenUsed/>
    <w:rsid w:val="00483C84"/>
    <w:rPr>
      <w:b/>
      <w:bCs/>
    </w:rPr>
  </w:style>
  <w:style w:type="character" w:customStyle="1" w:styleId="CommentSubjectChar">
    <w:name w:val="Comment Subject Char"/>
    <w:basedOn w:val="CommentTextChar"/>
    <w:link w:val="CommentSubject"/>
    <w:uiPriority w:val="99"/>
    <w:semiHidden/>
    <w:rsid w:val="00483C84"/>
    <w:rPr>
      <w:b/>
      <w:bCs/>
      <w:sz w:val="20"/>
      <w:szCs w:val="20"/>
    </w:rPr>
  </w:style>
  <w:style w:type="paragraph" w:styleId="BalloonText">
    <w:name w:val="Balloon Text"/>
    <w:basedOn w:val="Normal"/>
    <w:link w:val="BalloonTextChar"/>
    <w:uiPriority w:val="99"/>
    <w:semiHidden/>
    <w:unhideWhenUsed/>
    <w:rsid w:val="00483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84"/>
    <w:rPr>
      <w:rFonts w:ascii="Segoe UI" w:hAnsi="Segoe UI" w:cs="Segoe UI"/>
      <w:sz w:val="18"/>
      <w:szCs w:val="18"/>
    </w:rPr>
  </w:style>
  <w:style w:type="paragraph" w:customStyle="1" w:styleId="Default">
    <w:name w:val="Default"/>
    <w:rsid w:val="009369D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877C9A"/>
    <w:rPr>
      <w:rFonts w:ascii="Calibri" w:eastAsia="Calibri" w:hAnsi="Calibri" w:cs="Calibri"/>
      <w:b/>
      <w:bCs/>
      <w:sz w:val="28"/>
      <w:szCs w:val="28"/>
      <w:lang w:val="en-GB"/>
    </w:rPr>
  </w:style>
  <w:style w:type="paragraph" w:styleId="BodyText">
    <w:name w:val="Body Text"/>
    <w:basedOn w:val="Normal"/>
    <w:link w:val="BodyTextChar"/>
    <w:uiPriority w:val="1"/>
    <w:qFormat/>
    <w:rsid w:val="00877C9A"/>
    <w:pPr>
      <w:widowControl w:val="0"/>
      <w:autoSpaceDE w:val="0"/>
      <w:autoSpaceDN w:val="0"/>
      <w:spacing w:after="0" w:line="240" w:lineRule="auto"/>
      <w:ind w:left="100"/>
    </w:pPr>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877C9A"/>
    <w:rPr>
      <w:rFonts w:ascii="Calibri" w:eastAsia="Calibri" w:hAnsi="Calibri" w:cs="Calibri"/>
      <w:sz w:val="24"/>
      <w:szCs w:val="24"/>
      <w:lang w:val="en-GB"/>
    </w:rPr>
  </w:style>
  <w:style w:type="paragraph" w:customStyle="1" w:styleId="TableParagraph">
    <w:name w:val="Table Paragraph"/>
    <w:basedOn w:val="Normal"/>
    <w:uiPriority w:val="1"/>
    <w:qFormat/>
    <w:rsid w:val="00877C9A"/>
    <w:pPr>
      <w:widowControl w:val="0"/>
      <w:autoSpaceDE w:val="0"/>
      <w:autoSpaceDN w:val="0"/>
      <w:spacing w:after="0" w:line="240" w:lineRule="auto"/>
      <w:ind w:left="107"/>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eg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rporate_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Consulta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ce.org/where-we-are" TargetMode="External"/><Relationship Id="rId14" Type="http://schemas.openxmlformats.org/officeDocument/2006/relationships/hyperlink" Target="mailto:Khawla.farah@os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AFD0-940B-4174-847D-5A67E23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anderson</dc:creator>
  <cp:keywords/>
  <dc:description/>
  <cp:lastModifiedBy>Teuta Xhakija</cp:lastModifiedBy>
  <cp:revision>5</cp:revision>
  <dcterms:created xsi:type="dcterms:W3CDTF">2021-11-02T09:16:00Z</dcterms:created>
  <dcterms:modified xsi:type="dcterms:W3CDTF">2021-11-03T10:17:00Z</dcterms:modified>
</cp:coreProperties>
</file>