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E8F3A" w14:textId="77777777" w:rsidR="009148D8" w:rsidRPr="00F25A49" w:rsidRDefault="009148D8" w:rsidP="009148D8">
      <w:pPr>
        <w:spacing w:after="0"/>
        <w:rPr>
          <w:rFonts w:ascii="Times New Roman" w:hAnsi="Times New Roman" w:cs="Times New Roman"/>
        </w:rPr>
      </w:pPr>
    </w:p>
    <w:p w14:paraId="490D01E5" w14:textId="77777777" w:rsidR="009148D8" w:rsidRPr="009148D8" w:rsidRDefault="009148D8" w:rsidP="009148D8">
      <w:pPr>
        <w:spacing w:after="0"/>
        <w:jc w:val="center"/>
        <w:rPr>
          <w:rFonts w:ascii="Times New Roman" w:eastAsia="Times New Roman" w:hAnsi="Times New Roman" w:cs="Times New Roman"/>
          <w:b/>
        </w:rPr>
      </w:pPr>
    </w:p>
    <w:p w14:paraId="30DF72D9" w14:textId="34EA6396" w:rsidR="009148D8" w:rsidRPr="00772329" w:rsidRDefault="00292755" w:rsidP="009148D8">
      <w:pPr>
        <w:spacing w:after="0"/>
        <w:jc w:val="center"/>
        <w:rPr>
          <w:rFonts w:ascii="Times New Roman" w:eastAsia="Times New Roman" w:hAnsi="Times New Roman" w:cs="Times New Roman"/>
          <w:b/>
          <w:lang w:val="en-US"/>
        </w:rPr>
      </w:pPr>
      <w:bookmarkStart w:id="0" w:name="_Hlk178930986"/>
      <w:r>
        <w:rPr>
          <w:rFonts w:ascii="Times New Roman" w:eastAsia="Times New Roman" w:hAnsi="Times New Roman" w:cs="Times New Roman"/>
          <w:b/>
          <w:lang w:val="en-US"/>
        </w:rPr>
        <w:t>Summary of Requirements</w:t>
      </w:r>
    </w:p>
    <w:bookmarkEnd w:id="0"/>
    <w:p w14:paraId="5215BBA0" w14:textId="77777777" w:rsidR="00800B26" w:rsidRPr="009148D8" w:rsidRDefault="00800B26" w:rsidP="00800B26">
      <w:pPr>
        <w:rPr>
          <w:lang w:val="en-US"/>
        </w:rPr>
      </w:pPr>
    </w:p>
    <w:p w14:paraId="634A4B4A" w14:textId="77777777" w:rsidR="001F6FD7" w:rsidRPr="00DC6834" w:rsidRDefault="001F6FD7" w:rsidP="001F6FD7">
      <w:pPr>
        <w:spacing w:after="0"/>
        <w:jc w:val="center"/>
        <w:rPr>
          <w:rFonts w:asciiTheme="majorHAnsi" w:eastAsia="Times New Roman" w:hAnsiTheme="majorHAnsi" w:cstheme="majorHAnsi"/>
          <w:b/>
          <w:lang w:val="en-US"/>
        </w:rPr>
      </w:pPr>
      <w:r w:rsidRPr="00DC6834">
        <w:rPr>
          <w:rFonts w:asciiTheme="majorHAnsi" w:eastAsia="Times New Roman" w:hAnsiTheme="majorHAnsi" w:cstheme="majorHAnsi"/>
          <w:b/>
          <w:lang w:val="en-US"/>
        </w:rPr>
        <w:t>ITB-SEC-706340-2024</w:t>
      </w:r>
    </w:p>
    <w:p w14:paraId="343735B8" w14:textId="77777777" w:rsidR="001F6FD7" w:rsidRPr="00DC6834" w:rsidRDefault="001F6FD7" w:rsidP="001F6FD7">
      <w:pPr>
        <w:spacing w:after="0"/>
        <w:jc w:val="center"/>
        <w:rPr>
          <w:rFonts w:asciiTheme="majorHAnsi" w:eastAsia="Times New Roman" w:hAnsiTheme="majorHAnsi" w:cstheme="majorHAnsi"/>
          <w:b/>
          <w:lang w:val="en-US"/>
        </w:rPr>
      </w:pPr>
      <w:r w:rsidRPr="00DC6834">
        <w:rPr>
          <w:rFonts w:asciiTheme="majorHAnsi" w:eastAsia="Times New Roman" w:hAnsiTheme="majorHAnsi" w:cstheme="majorHAnsi"/>
          <w:b/>
        </w:rPr>
        <w:t xml:space="preserve"> </w:t>
      </w:r>
      <w:r w:rsidRPr="00DC6834">
        <w:rPr>
          <w:rFonts w:asciiTheme="majorHAnsi" w:eastAsia="Times New Roman" w:hAnsiTheme="majorHAnsi" w:cstheme="majorHAnsi"/>
          <w:b/>
          <w:lang w:val="en-US"/>
        </w:rPr>
        <w:t>For Provision of Disaster Recovery Services</w:t>
      </w:r>
    </w:p>
    <w:p w14:paraId="45149388" w14:textId="77777777" w:rsidR="001F6FD7" w:rsidRPr="00DC6834" w:rsidRDefault="001F6FD7" w:rsidP="001F6FD7">
      <w:pPr>
        <w:spacing w:after="200" w:line="276" w:lineRule="auto"/>
        <w:rPr>
          <w:lang w:val="en-US"/>
        </w:rPr>
      </w:pPr>
      <w:r w:rsidRPr="00DC6834">
        <w:rPr>
          <w:b/>
          <w:bCs/>
          <w:lang w:val="en-US"/>
        </w:rPr>
        <w:t>Objective</w:t>
      </w:r>
      <w:r w:rsidRPr="00DC6834">
        <w:rPr>
          <w:lang w:val="en-US"/>
        </w:rPr>
        <w:br/>
        <w:t>The Organization for Security and Co-operation in Europe (OSCE) seeks to procure a Disaster Recovery (DR) service for the re-establishment of critical IT infrastructure and systems following any natural, technological, or human-induced disasters. The DR service focuses on IT systems and excludes broader business continuity planning. The current DR system, implemented in 2014 at the OSCE Secretariat Data Center (DC) in Vienna, requires expansion and modernization.</w:t>
      </w:r>
    </w:p>
    <w:p w14:paraId="416CB162" w14:textId="77777777" w:rsidR="001F6FD7" w:rsidRPr="00DC6834" w:rsidRDefault="001F6FD7" w:rsidP="001F6FD7">
      <w:pPr>
        <w:spacing w:after="200" w:line="276" w:lineRule="auto"/>
        <w:rPr>
          <w:lang w:val="en-US"/>
        </w:rPr>
      </w:pPr>
      <w:r w:rsidRPr="00DC6834">
        <w:rPr>
          <w:b/>
          <w:bCs/>
          <w:lang w:val="en-US"/>
        </w:rPr>
        <w:t>Scope of Services</w:t>
      </w:r>
    </w:p>
    <w:p w14:paraId="01DDC270" w14:textId="77777777" w:rsidR="001F6FD7" w:rsidRPr="00DC6834" w:rsidRDefault="001F6FD7" w:rsidP="001F6FD7">
      <w:pPr>
        <w:numPr>
          <w:ilvl w:val="0"/>
          <w:numId w:val="17"/>
        </w:numPr>
        <w:spacing w:after="200" w:line="276" w:lineRule="auto"/>
        <w:jc w:val="left"/>
        <w:rPr>
          <w:lang w:val="en-US"/>
        </w:rPr>
      </w:pPr>
      <w:r w:rsidRPr="00DC6834">
        <w:rPr>
          <w:b/>
          <w:bCs/>
          <w:lang w:val="en-US"/>
        </w:rPr>
        <w:t>Data Center Requirements</w:t>
      </w:r>
    </w:p>
    <w:p w14:paraId="33790141" w14:textId="77777777" w:rsidR="001F6FD7" w:rsidRPr="00DC6834" w:rsidRDefault="001F6FD7" w:rsidP="001F6FD7">
      <w:pPr>
        <w:numPr>
          <w:ilvl w:val="1"/>
          <w:numId w:val="17"/>
        </w:numPr>
        <w:spacing w:after="200" w:line="276" w:lineRule="auto"/>
        <w:jc w:val="left"/>
        <w:rPr>
          <w:lang w:val="en-US"/>
        </w:rPr>
      </w:pPr>
      <w:r w:rsidRPr="00DC6834">
        <w:rPr>
          <w:lang w:val="en-US"/>
        </w:rPr>
        <w:t>The Disaster Recovery facility must be located within 50 km of Vienna.</w:t>
      </w:r>
    </w:p>
    <w:p w14:paraId="4431E7CB" w14:textId="0F1DABBD" w:rsidR="001F6FD7" w:rsidRDefault="001F6FD7" w:rsidP="001F6FD7">
      <w:pPr>
        <w:numPr>
          <w:ilvl w:val="1"/>
          <w:numId w:val="17"/>
        </w:numPr>
        <w:spacing w:after="200" w:line="276" w:lineRule="auto"/>
        <w:jc w:val="left"/>
        <w:rPr>
          <w:lang w:val="en-US"/>
        </w:rPr>
      </w:pPr>
      <w:r w:rsidRPr="00DC6834">
        <w:rPr>
          <w:lang w:val="en-US"/>
        </w:rPr>
        <w:t>The Data Center must be a Tier 3+ facility with ISO 27001 certification for security.</w:t>
      </w:r>
    </w:p>
    <w:p w14:paraId="00522FA1" w14:textId="3E00E82A" w:rsidR="00970A07" w:rsidRDefault="00970A07" w:rsidP="00970A07">
      <w:pPr>
        <w:pStyle w:val="ListParagraph"/>
        <w:numPr>
          <w:ilvl w:val="1"/>
          <w:numId w:val="17"/>
        </w:numPr>
        <w:rPr>
          <w:lang w:val="en-US"/>
        </w:rPr>
      </w:pPr>
      <w:r w:rsidRPr="00970A07">
        <w:rPr>
          <w:lang w:val="en-US"/>
        </w:rPr>
        <w:t>The Bidder may provide the services directly or via a data center from a local neutral carrier.</w:t>
      </w:r>
    </w:p>
    <w:p w14:paraId="43D76587" w14:textId="77777777" w:rsidR="00970A07" w:rsidRPr="00970A07" w:rsidRDefault="00970A07" w:rsidP="00970A07">
      <w:pPr>
        <w:pStyle w:val="ListParagraph"/>
        <w:ind w:left="1440"/>
        <w:rPr>
          <w:lang w:val="en-US"/>
        </w:rPr>
      </w:pPr>
    </w:p>
    <w:p w14:paraId="499624AC" w14:textId="77777777" w:rsidR="001F6FD7" w:rsidRPr="00DC6834" w:rsidRDefault="001F6FD7" w:rsidP="001F6FD7">
      <w:pPr>
        <w:numPr>
          <w:ilvl w:val="0"/>
          <w:numId w:val="17"/>
        </w:numPr>
        <w:spacing w:after="200" w:line="276" w:lineRule="auto"/>
        <w:jc w:val="left"/>
        <w:rPr>
          <w:lang w:val="en-US"/>
        </w:rPr>
      </w:pPr>
      <w:r w:rsidRPr="00DC6834">
        <w:rPr>
          <w:b/>
          <w:bCs/>
          <w:lang w:val="en-US"/>
        </w:rPr>
        <w:t>Infrastructure Provision</w:t>
      </w:r>
    </w:p>
    <w:p w14:paraId="2009B0BB" w14:textId="77777777" w:rsidR="001F6FD7" w:rsidRPr="00DC6834" w:rsidRDefault="001F6FD7" w:rsidP="001F6FD7">
      <w:pPr>
        <w:numPr>
          <w:ilvl w:val="1"/>
          <w:numId w:val="17"/>
        </w:numPr>
        <w:spacing w:after="200" w:line="276" w:lineRule="auto"/>
        <w:jc w:val="left"/>
        <w:rPr>
          <w:lang w:val="en-US"/>
        </w:rPr>
      </w:pPr>
      <w:r w:rsidRPr="00DC6834">
        <w:rPr>
          <w:lang w:val="en-US"/>
        </w:rPr>
        <w:t xml:space="preserve">The vendor must provide server infrastructure to support 105 synchronized virtual machines (VMs) with 1788 GB memory and 390 </w:t>
      </w:r>
      <w:proofErr w:type="spellStart"/>
      <w:r w:rsidRPr="00DC6834">
        <w:rPr>
          <w:lang w:val="en-US"/>
        </w:rPr>
        <w:t>vCores</w:t>
      </w:r>
      <w:proofErr w:type="spellEnd"/>
      <w:r w:rsidRPr="00DC6834">
        <w:rPr>
          <w:lang w:val="en-US"/>
        </w:rPr>
        <w:t>. There should be 10% spare capacity for future VMs, with five VMs running continuously.</w:t>
      </w:r>
    </w:p>
    <w:p w14:paraId="2ECDAC08" w14:textId="77777777" w:rsidR="001F6FD7" w:rsidRPr="00DC6834" w:rsidRDefault="001F6FD7" w:rsidP="001F6FD7">
      <w:pPr>
        <w:numPr>
          <w:ilvl w:val="1"/>
          <w:numId w:val="17"/>
        </w:numPr>
        <w:spacing w:after="200" w:line="276" w:lineRule="auto"/>
        <w:jc w:val="left"/>
        <w:rPr>
          <w:lang w:val="en-US"/>
        </w:rPr>
      </w:pPr>
      <w:r w:rsidRPr="00DC6834">
        <w:rPr>
          <w:lang w:val="en-US"/>
        </w:rPr>
        <w:t>The infrastructure must support additional physical devices, including 10-15 bare metal servers, a tape library, a KVM switch, and three network switches.</w:t>
      </w:r>
    </w:p>
    <w:p w14:paraId="234D8E4B" w14:textId="065BE99C" w:rsidR="001F6FD7" w:rsidRPr="00DC6834" w:rsidRDefault="001F6FD7" w:rsidP="001F6FD7">
      <w:pPr>
        <w:numPr>
          <w:ilvl w:val="0"/>
          <w:numId w:val="17"/>
        </w:numPr>
        <w:spacing w:after="200" w:line="276" w:lineRule="auto"/>
        <w:jc w:val="left"/>
        <w:rPr>
          <w:lang w:val="en-US"/>
        </w:rPr>
      </w:pPr>
      <w:r w:rsidRPr="00DC6834">
        <w:rPr>
          <w:b/>
          <w:bCs/>
          <w:lang w:val="en-US"/>
        </w:rPr>
        <w:t>Storage and Network Requirements</w:t>
      </w:r>
    </w:p>
    <w:p w14:paraId="71588F7C" w14:textId="77777777" w:rsidR="001F6FD7" w:rsidRPr="00DC6834" w:rsidRDefault="001F6FD7" w:rsidP="001F6FD7">
      <w:pPr>
        <w:numPr>
          <w:ilvl w:val="1"/>
          <w:numId w:val="17"/>
        </w:numPr>
        <w:spacing w:after="200" w:line="276" w:lineRule="auto"/>
        <w:jc w:val="left"/>
        <w:rPr>
          <w:lang w:val="en-US"/>
        </w:rPr>
      </w:pPr>
      <w:r w:rsidRPr="00DC6834">
        <w:rPr>
          <w:lang w:val="en-US"/>
        </w:rPr>
        <w:t>The vendor must offer a storage system with self-encrypting drives, compatible with the current OSCE replication system, with an initial capacity of 100 TB and fast-class disk performance.</w:t>
      </w:r>
    </w:p>
    <w:p w14:paraId="6D8589BF" w14:textId="77777777" w:rsidR="001F6FD7" w:rsidRPr="00DC6834" w:rsidRDefault="001F6FD7" w:rsidP="001F6FD7">
      <w:pPr>
        <w:numPr>
          <w:ilvl w:val="1"/>
          <w:numId w:val="17"/>
        </w:numPr>
        <w:spacing w:after="200" w:line="276" w:lineRule="auto"/>
        <w:jc w:val="left"/>
        <w:rPr>
          <w:lang w:val="en-US"/>
        </w:rPr>
      </w:pPr>
      <w:r w:rsidRPr="00DC6834">
        <w:rPr>
          <w:lang w:val="en-US"/>
        </w:rPr>
        <w:t xml:space="preserve">Redundant uplinks (1/10 </w:t>
      </w:r>
      <w:proofErr w:type="spellStart"/>
      <w:r w:rsidRPr="00DC6834">
        <w:rPr>
          <w:lang w:val="en-US"/>
        </w:rPr>
        <w:t>GBit</w:t>
      </w:r>
      <w:proofErr w:type="spellEnd"/>
      <w:r w:rsidRPr="00DC6834">
        <w:rPr>
          <w:lang w:val="en-US"/>
        </w:rPr>
        <w:t xml:space="preserve"> TP RJ45) must be provided, connecting to OSCE-owned switches.</w:t>
      </w:r>
    </w:p>
    <w:p w14:paraId="37024E69" w14:textId="77777777" w:rsidR="001F6FD7" w:rsidRPr="00DC6834" w:rsidRDefault="001F6FD7" w:rsidP="001F6FD7">
      <w:pPr>
        <w:numPr>
          <w:ilvl w:val="0"/>
          <w:numId w:val="17"/>
        </w:numPr>
        <w:spacing w:after="200" w:line="276" w:lineRule="auto"/>
        <w:jc w:val="left"/>
        <w:rPr>
          <w:lang w:val="en-US"/>
        </w:rPr>
      </w:pPr>
      <w:r w:rsidRPr="00DC6834">
        <w:rPr>
          <w:b/>
          <w:bCs/>
          <w:lang w:val="en-US"/>
        </w:rPr>
        <w:t>Administrative Access and Security</w:t>
      </w:r>
    </w:p>
    <w:p w14:paraId="6E86ECE1" w14:textId="77777777" w:rsidR="001F6FD7" w:rsidRPr="00DC6834" w:rsidRDefault="001F6FD7" w:rsidP="001F6FD7">
      <w:pPr>
        <w:numPr>
          <w:ilvl w:val="1"/>
          <w:numId w:val="17"/>
        </w:numPr>
        <w:spacing w:after="200" w:line="276" w:lineRule="auto"/>
        <w:jc w:val="left"/>
        <w:rPr>
          <w:lang w:val="en-US"/>
        </w:rPr>
      </w:pPr>
      <w:r w:rsidRPr="00DC6834">
        <w:rPr>
          <w:lang w:val="en-US"/>
        </w:rPr>
        <w:t>OSCE must have full administrative access to all virtual infrastructure components.</w:t>
      </w:r>
    </w:p>
    <w:p w14:paraId="493A72AB" w14:textId="77777777" w:rsidR="001F6FD7" w:rsidRPr="00DC6834" w:rsidRDefault="001F6FD7" w:rsidP="001F6FD7">
      <w:pPr>
        <w:numPr>
          <w:ilvl w:val="1"/>
          <w:numId w:val="17"/>
        </w:numPr>
        <w:spacing w:after="200" w:line="276" w:lineRule="auto"/>
        <w:jc w:val="left"/>
        <w:rPr>
          <w:lang w:val="en-US"/>
        </w:rPr>
      </w:pPr>
      <w:r w:rsidRPr="00DC6834">
        <w:rPr>
          <w:lang w:val="en-US"/>
        </w:rPr>
        <w:t>The vendor must guarantee that OSCE data is never copied, replicated, or moved outside the dedicated DR environment without written consent.</w:t>
      </w:r>
    </w:p>
    <w:p w14:paraId="624DD892" w14:textId="77777777" w:rsidR="001F6FD7" w:rsidRPr="00DC6834" w:rsidRDefault="001F6FD7" w:rsidP="001F6FD7">
      <w:pPr>
        <w:numPr>
          <w:ilvl w:val="1"/>
          <w:numId w:val="17"/>
        </w:numPr>
        <w:spacing w:after="200" w:line="276" w:lineRule="auto"/>
        <w:jc w:val="left"/>
        <w:rPr>
          <w:lang w:val="en-US"/>
        </w:rPr>
      </w:pPr>
      <w:r w:rsidRPr="00DC6834">
        <w:rPr>
          <w:lang w:val="en-US"/>
        </w:rPr>
        <w:t>Compliance with OSCE privacy rules is mandatory.</w:t>
      </w:r>
    </w:p>
    <w:p w14:paraId="5F7A39B2" w14:textId="77777777" w:rsidR="001F6FD7" w:rsidRPr="00DC6834" w:rsidRDefault="001F6FD7" w:rsidP="001F6FD7">
      <w:pPr>
        <w:spacing w:after="200" w:line="276" w:lineRule="auto"/>
        <w:rPr>
          <w:lang w:val="en-US"/>
        </w:rPr>
      </w:pPr>
      <w:r w:rsidRPr="00DC6834">
        <w:rPr>
          <w:b/>
          <w:bCs/>
          <w:lang w:val="en-US"/>
        </w:rPr>
        <w:t>Support and Maintenance</w:t>
      </w:r>
    </w:p>
    <w:p w14:paraId="6F0447A4" w14:textId="77777777" w:rsidR="001F6FD7" w:rsidRPr="00DC6834" w:rsidRDefault="001F6FD7" w:rsidP="001F6FD7">
      <w:pPr>
        <w:numPr>
          <w:ilvl w:val="0"/>
          <w:numId w:val="18"/>
        </w:numPr>
        <w:spacing w:after="200" w:line="276" w:lineRule="auto"/>
        <w:jc w:val="left"/>
        <w:rPr>
          <w:lang w:val="en-US"/>
        </w:rPr>
      </w:pPr>
      <w:r w:rsidRPr="00DC6834">
        <w:rPr>
          <w:b/>
          <w:bCs/>
          <w:lang w:val="en-US"/>
        </w:rPr>
        <w:t>Licenses and Subscriptions:</w:t>
      </w:r>
      <w:r w:rsidRPr="00DC6834">
        <w:rPr>
          <w:lang w:val="en-US"/>
        </w:rPr>
        <w:t xml:space="preserve"> The vendor must provide and maintain all required virtualization software licenses and apply regular patches to the DR infrastructure.</w:t>
      </w:r>
    </w:p>
    <w:p w14:paraId="123D4096" w14:textId="77777777" w:rsidR="001F6FD7" w:rsidRPr="00DC6834" w:rsidRDefault="001F6FD7" w:rsidP="001F6FD7">
      <w:pPr>
        <w:numPr>
          <w:ilvl w:val="0"/>
          <w:numId w:val="18"/>
        </w:numPr>
        <w:spacing w:after="200" w:line="276" w:lineRule="auto"/>
        <w:jc w:val="left"/>
        <w:rPr>
          <w:lang w:val="en-US"/>
        </w:rPr>
      </w:pPr>
      <w:r w:rsidRPr="00DC6834">
        <w:rPr>
          <w:b/>
          <w:bCs/>
          <w:lang w:val="en-US"/>
        </w:rPr>
        <w:lastRenderedPageBreak/>
        <w:t>Annual DR Tests:</w:t>
      </w:r>
      <w:r w:rsidRPr="00DC6834">
        <w:rPr>
          <w:lang w:val="en-US"/>
        </w:rPr>
        <w:t xml:space="preserve"> The vendor must support OSCE in conducting annual DR tests, providing six desktops/notebooks for use during the tests.</w:t>
      </w:r>
    </w:p>
    <w:p w14:paraId="52E38472" w14:textId="77777777" w:rsidR="001F6FD7" w:rsidRPr="00DC6834" w:rsidRDefault="001F6FD7" w:rsidP="001F6FD7">
      <w:pPr>
        <w:numPr>
          <w:ilvl w:val="0"/>
          <w:numId w:val="18"/>
        </w:numPr>
        <w:spacing w:after="200" w:line="276" w:lineRule="auto"/>
        <w:jc w:val="left"/>
        <w:rPr>
          <w:lang w:val="en-US"/>
        </w:rPr>
      </w:pPr>
      <w:r w:rsidRPr="00DC6834">
        <w:rPr>
          <w:b/>
          <w:bCs/>
          <w:lang w:val="en-US"/>
        </w:rPr>
        <w:t>Monitoring and Reporting:</w:t>
      </w:r>
      <w:r w:rsidRPr="00DC6834">
        <w:rPr>
          <w:lang w:val="en-US"/>
        </w:rPr>
        <w:t xml:space="preserve"> Regular reporting on system status and patching is required, and changes affecting the DR infrastructure must be communicated two weeks in advance.</w:t>
      </w:r>
    </w:p>
    <w:p w14:paraId="7D5CEDF7" w14:textId="77777777" w:rsidR="001F6FD7" w:rsidRPr="00DC6834" w:rsidRDefault="001F6FD7" w:rsidP="001F6FD7">
      <w:pPr>
        <w:numPr>
          <w:ilvl w:val="0"/>
          <w:numId w:val="18"/>
        </w:numPr>
        <w:spacing w:after="200" w:line="276" w:lineRule="auto"/>
        <w:jc w:val="left"/>
        <w:rPr>
          <w:lang w:val="en-US"/>
        </w:rPr>
      </w:pPr>
      <w:r w:rsidRPr="00DC6834">
        <w:rPr>
          <w:b/>
          <w:bCs/>
          <w:lang w:val="en-US"/>
        </w:rPr>
        <w:t>24/7 Support:</w:t>
      </w:r>
      <w:r w:rsidRPr="00DC6834">
        <w:rPr>
          <w:lang w:val="en-US"/>
        </w:rPr>
        <w:t xml:space="preserve"> The vendor must offer a 24/7 English-speaking hotline for registered OSCE staff.</w:t>
      </w:r>
    </w:p>
    <w:p w14:paraId="712213CA" w14:textId="77777777" w:rsidR="001F6FD7" w:rsidRPr="00DC6834" w:rsidRDefault="001F6FD7" w:rsidP="001F6FD7">
      <w:pPr>
        <w:spacing w:after="200" w:line="276" w:lineRule="auto"/>
        <w:jc w:val="left"/>
        <w:rPr>
          <w:lang w:val="en-US"/>
        </w:rPr>
      </w:pPr>
      <w:r w:rsidRPr="00DC6834">
        <w:rPr>
          <w:b/>
          <w:bCs/>
          <w:lang w:val="en-US"/>
        </w:rPr>
        <w:t>Service Level Objectives</w:t>
      </w:r>
      <w:r w:rsidRPr="00DC6834">
        <w:rPr>
          <w:lang w:val="en-US"/>
        </w:rPr>
        <w:br/>
        <w:t>The Disaster Recovery solution must support Recovery Point Objectives (RPOs) and Recovery Time Objectives (RTOs) of 24 to 48 hours, depending on the specific service.</w:t>
      </w:r>
    </w:p>
    <w:p w14:paraId="435E1E59" w14:textId="77777777" w:rsidR="001F6FD7" w:rsidRPr="00DC6834" w:rsidRDefault="001F6FD7" w:rsidP="001F6FD7">
      <w:pPr>
        <w:spacing w:after="200" w:line="276" w:lineRule="auto"/>
        <w:rPr>
          <w:lang w:val="en-US"/>
        </w:rPr>
      </w:pPr>
      <w:r w:rsidRPr="00DC6834">
        <w:rPr>
          <w:b/>
          <w:bCs/>
          <w:lang w:val="en-US"/>
        </w:rPr>
        <w:t>Conclusion</w:t>
      </w:r>
      <w:r w:rsidRPr="00DC6834">
        <w:rPr>
          <w:lang w:val="en-US"/>
        </w:rPr>
        <w:br/>
        <w:t>The vendor must deliver a secure, compliant, and reliable DR service to safeguard OSCE's IT infrastructure, ensuring quick recovery and minimal disruption during disasters. The solution must be flexible, scalable, and fully compatible with OSCE's existing systems.</w:t>
      </w:r>
    </w:p>
    <w:p w14:paraId="42167AF4" w14:textId="77777777" w:rsidR="00800B26" w:rsidRPr="001F6FD7" w:rsidRDefault="00800B26" w:rsidP="001F6FD7">
      <w:pPr>
        <w:rPr>
          <w:lang w:val="en-US"/>
        </w:rPr>
      </w:pPr>
    </w:p>
    <w:sectPr w:rsidR="00800B26" w:rsidRPr="001F6FD7" w:rsidSect="00292755">
      <w:footerReference w:type="default" r:id="rId11"/>
      <w:pgSz w:w="11906" w:h="16838"/>
      <w:pgMar w:top="567"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82286" w14:textId="77777777" w:rsidR="001C60D4" w:rsidRDefault="001C60D4" w:rsidP="00ED40AC">
      <w:pPr>
        <w:spacing w:after="0"/>
      </w:pPr>
      <w:r>
        <w:separator/>
      </w:r>
    </w:p>
  </w:endnote>
  <w:endnote w:type="continuationSeparator" w:id="0">
    <w:p w14:paraId="6996D8AC" w14:textId="77777777" w:rsidR="001C60D4" w:rsidRDefault="001C60D4" w:rsidP="00ED40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rPr>
      <w:id w:val="-232553085"/>
      <w:docPartObj>
        <w:docPartGallery w:val="Page Numbers (Bottom of Page)"/>
        <w:docPartUnique/>
      </w:docPartObj>
    </w:sdtPr>
    <w:sdtEndPr/>
    <w:sdtContent>
      <w:p w14:paraId="31B0149C" w14:textId="07C6CC5D" w:rsidR="001E789D" w:rsidRPr="00ED40AC" w:rsidRDefault="001E789D">
        <w:pPr>
          <w:pStyle w:val="Footer"/>
          <w:jc w:val="right"/>
          <w:rPr>
            <w:sz w:val="16"/>
          </w:rPr>
        </w:pPr>
        <w:r w:rsidRPr="00ED40AC">
          <w:rPr>
            <w:sz w:val="16"/>
          </w:rPr>
          <w:t xml:space="preserve">Page | </w:t>
        </w:r>
        <w:r w:rsidRPr="00ED40AC">
          <w:rPr>
            <w:sz w:val="16"/>
          </w:rPr>
          <w:fldChar w:fldCharType="begin"/>
        </w:r>
        <w:r w:rsidRPr="00ED40AC">
          <w:rPr>
            <w:sz w:val="16"/>
          </w:rPr>
          <w:instrText xml:space="preserve"> PAGE   \* MERGEFORMAT </w:instrText>
        </w:r>
        <w:r w:rsidRPr="00ED40AC">
          <w:rPr>
            <w:sz w:val="16"/>
          </w:rPr>
          <w:fldChar w:fldCharType="separate"/>
        </w:r>
        <w:r w:rsidR="00456C61">
          <w:rPr>
            <w:noProof/>
            <w:sz w:val="16"/>
          </w:rPr>
          <w:t>16</w:t>
        </w:r>
        <w:r w:rsidRPr="00ED40AC">
          <w:rPr>
            <w:noProof/>
            <w:sz w:val="16"/>
          </w:rPr>
          <w:fldChar w:fldCharType="end"/>
        </w:r>
        <w:r w:rsidRPr="00ED40AC">
          <w:rPr>
            <w:sz w:val="16"/>
          </w:rPr>
          <w:t xml:space="preserve"> </w:t>
        </w:r>
      </w:p>
    </w:sdtContent>
  </w:sdt>
  <w:p w14:paraId="4B1375E5" w14:textId="77777777" w:rsidR="001E789D" w:rsidRDefault="001E7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1E1EB" w14:textId="77777777" w:rsidR="001C60D4" w:rsidRDefault="001C60D4" w:rsidP="00ED40AC">
      <w:pPr>
        <w:spacing w:after="0"/>
      </w:pPr>
      <w:r>
        <w:separator/>
      </w:r>
    </w:p>
  </w:footnote>
  <w:footnote w:type="continuationSeparator" w:id="0">
    <w:p w14:paraId="69C1368D" w14:textId="77777777" w:rsidR="001C60D4" w:rsidRDefault="001C60D4" w:rsidP="00ED40A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A7EA2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4A6C83"/>
    <w:multiLevelType w:val="multilevel"/>
    <w:tmpl w:val="7DBC1E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576ADD"/>
    <w:multiLevelType w:val="hybridMultilevel"/>
    <w:tmpl w:val="B1CE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33598F"/>
    <w:multiLevelType w:val="hybridMultilevel"/>
    <w:tmpl w:val="8A2A16F4"/>
    <w:lvl w:ilvl="0" w:tplc="2C3ECE2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266BE"/>
    <w:multiLevelType w:val="multilevel"/>
    <w:tmpl w:val="C0BC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B714B2"/>
    <w:multiLevelType w:val="hybridMultilevel"/>
    <w:tmpl w:val="58120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2295D"/>
    <w:multiLevelType w:val="hybridMultilevel"/>
    <w:tmpl w:val="86ECA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5F1ADD"/>
    <w:multiLevelType w:val="multilevel"/>
    <w:tmpl w:val="BD5C2486"/>
    <w:lvl w:ilvl="0">
      <w:start w:val="1"/>
      <w:numFmt w:val="decimal"/>
      <w:pStyle w:val="Heading2"/>
      <w:lvlText w:val="%1."/>
      <w:lvlJc w:val="left"/>
      <w:pPr>
        <w:ind w:left="360" w:hanging="360"/>
      </w:pPr>
      <w:rPr>
        <w:rFonts w:hint="default"/>
      </w:rPr>
    </w:lvl>
    <w:lvl w:ilvl="1">
      <w:start w:val="1"/>
      <w:numFmt w:val="decimal"/>
      <w:pStyle w:val="Heading3"/>
      <w:isLgl/>
      <w:lvlText w:val="%1.%2."/>
      <w:lvlJc w:val="left"/>
      <w:pPr>
        <w:ind w:left="360" w:hanging="360"/>
      </w:pPr>
      <w:rPr>
        <w:rFonts w:hint="default"/>
      </w:rPr>
    </w:lvl>
    <w:lvl w:ilvl="2">
      <w:start w:val="1"/>
      <w:numFmt w:val="decimal"/>
      <w:pStyle w:val="Heading4"/>
      <w:isLg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B9D6F16"/>
    <w:multiLevelType w:val="hybridMultilevel"/>
    <w:tmpl w:val="EE9A1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2B0F21"/>
    <w:multiLevelType w:val="hybridMultilevel"/>
    <w:tmpl w:val="176CF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7C7B8E"/>
    <w:multiLevelType w:val="hybridMultilevel"/>
    <w:tmpl w:val="62B2E4F8"/>
    <w:lvl w:ilvl="0" w:tplc="2CF07A40">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D17B40"/>
    <w:multiLevelType w:val="hybridMultilevel"/>
    <w:tmpl w:val="2506E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925644"/>
    <w:multiLevelType w:val="hybridMultilevel"/>
    <w:tmpl w:val="C2D28C4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96A73C7"/>
    <w:multiLevelType w:val="hybridMultilevel"/>
    <w:tmpl w:val="F89C22B2"/>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116980"/>
    <w:multiLevelType w:val="hybridMultilevel"/>
    <w:tmpl w:val="4BD6A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A32F51"/>
    <w:multiLevelType w:val="hybridMultilevel"/>
    <w:tmpl w:val="CEFAE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524E5D"/>
    <w:multiLevelType w:val="hybridMultilevel"/>
    <w:tmpl w:val="177E9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FE02CD"/>
    <w:multiLevelType w:val="hybridMultilevel"/>
    <w:tmpl w:val="31D2A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3"/>
  </w:num>
  <w:num w:numId="4">
    <w:abstractNumId w:val="13"/>
  </w:num>
  <w:num w:numId="5">
    <w:abstractNumId w:val="8"/>
  </w:num>
  <w:num w:numId="6">
    <w:abstractNumId w:val="0"/>
  </w:num>
  <w:num w:numId="7">
    <w:abstractNumId w:val="12"/>
  </w:num>
  <w:num w:numId="8">
    <w:abstractNumId w:val="10"/>
  </w:num>
  <w:num w:numId="9">
    <w:abstractNumId w:val="11"/>
  </w:num>
  <w:num w:numId="10">
    <w:abstractNumId w:val="2"/>
  </w:num>
  <w:num w:numId="11">
    <w:abstractNumId w:val="17"/>
  </w:num>
  <w:num w:numId="12">
    <w:abstractNumId w:val="15"/>
  </w:num>
  <w:num w:numId="13">
    <w:abstractNumId w:val="9"/>
  </w:num>
  <w:num w:numId="14">
    <w:abstractNumId w:val="6"/>
  </w:num>
  <w:num w:numId="15">
    <w:abstractNumId w:val="5"/>
  </w:num>
  <w:num w:numId="16">
    <w:abstractNumId w:val="16"/>
  </w:num>
  <w:num w:numId="17">
    <w:abstractNumId w:val="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B26"/>
    <w:rsid w:val="00046F2B"/>
    <w:rsid w:val="00046F9C"/>
    <w:rsid w:val="0004706B"/>
    <w:rsid w:val="00073843"/>
    <w:rsid w:val="000D4341"/>
    <w:rsid w:val="000E5E3D"/>
    <w:rsid w:val="000E6D59"/>
    <w:rsid w:val="001024E4"/>
    <w:rsid w:val="00117425"/>
    <w:rsid w:val="00124D3F"/>
    <w:rsid w:val="001C60D4"/>
    <w:rsid w:val="001D76C5"/>
    <w:rsid w:val="001E789D"/>
    <w:rsid w:val="001F6FD7"/>
    <w:rsid w:val="002059FF"/>
    <w:rsid w:val="0021394E"/>
    <w:rsid w:val="002147EA"/>
    <w:rsid w:val="00235136"/>
    <w:rsid w:val="00257A32"/>
    <w:rsid w:val="00292755"/>
    <w:rsid w:val="00294C99"/>
    <w:rsid w:val="002C239F"/>
    <w:rsid w:val="003130E9"/>
    <w:rsid w:val="00317F47"/>
    <w:rsid w:val="00330FCC"/>
    <w:rsid w:val="00331F0E"/>
    <w:rsid w:val="00357B45"/>
    <w:rsid w:val="00392C08"/>
    <w:rsid w:val="003D6774"/>
    <w:rsid w:val="004069B5"/>
    <w:rsid w:val="00456C61"/>
    <w:rsid w:val="0049654B"/>
    <w:rsid w:val="004C0B39"/>
    <w:rsid w:val="004D75AD"/>
    <w:rsid w:val="005037FC"/>
    <w:rsid w:val="00525D36"/>
    <w:rsid w:val="00540AA3"/>
    <w:rsid w:val="005425E3"/>
    <w:rsid w:val="00567899"/>
    <w:rsid w:val="0057702A"/>
    <w:rsid w:val="005C0C46"/>
    <w:rsid w:val="00617ABB"/>
    <w:rsid w:val="006264F6"/>
    <w:rsid w:val="00691482"/>
    <w:rsid w:val="00696E4D"/>
    <w:rsid w:val="006D3379"/>
    <w:rsid w:val="006E58FC"/>
    <w:rsid w:val="006E73CF"/>
    <w:rsid w:val="006E7705"/>
    <w:rsid w:val="006F52D3"/>
    <w:rsid w:val="00732FA1"/>
    <w:rsid w:val="0074015F"/>
    <w:rsid w:val="007620A9"/>
    <w:rsid w:val="00767B59"/>
    <w:rsid w:val="00800B26"/>
    <w:rsid w:val="008079F4"/>
    <w:rsid w:val="0087260D"/>
    <w:rsid w:val="0088031B"/>
    <w:rsid w:val="008B0694"/>
    <w:rsid w:val="008C302C"/>
    <w:rsid w:val="008D3842"/>
    <w:rsid w:val="009141FF"/>
    <w:rsid w:val="009148D8"/>
    <w:rsid w:val="00932686"/>
    <w:rsid w:val="0094379B"/>
    <w:rsid w:val="00970A07"/>
    <w:rsid w:val="00970C30"/>
    <w:rsid w:val="00970CD9"/>
    <w:rsid w:val="009C7E83"/>
    <w:rsid w:val="009D4A0C"/>
    <w:rsid w:val="009E08DD"/>
    <w:rsid w:val="00A20252"/>
    <w:rsid w:val="00AC13BD"/>
    <w:rsid w:val="00AC1EA9"/>
    <w:rsid w:val="00AE2B4C"/>
    <w:rsid w:val="00AF7590"/>
    <w:rsid w:val="00B069E4"/>
    <w:rsid w:val="00B245DD"/>
    <w:rsid w:val="00B256C1"/>
    <w:rsid w:val="00B568AC"/>
    <w:rsid w:val="00B86E49"/>
    <w:rsid w:val="00BD0C8C"/>
    <w:rsid w:val="00BE0B65"/>
    <w:rsid w:val="00BF4A8E"/>
    <w:rsid w:val="00BF5EAB"/>
    <w:rsid w:val="00BF5EE5"/>
    <w:rsid w:val="00C0376A"/>
    <w:rsid w:val="00C23596"/>
    <w:rsid w:val="00C27A80"/>
    <w:rsid w:val="00C677D2"/>
    <w:rsid w:val="00C73E7E"/>
    <w:rsid w:val="00C919C5"/>
    <w:rsid w:val="00CB6141"/>
    <w:rsid w:val="00CC03F3"/>
    <w:rsid w:val="00CD5DEC"/>
    <w:rsid w:val="00CE37AB"/>
    <w:rsid w:val="00CF7CDE"/>
    <w:rsid w:val="00D30E82"/>
    <w:rsid w:val="00D31BFD"/>
    <w:rsid w:val="00D76762"/>
    <w:rsid w:val="00D9725D"/>
    <w:rsid w:val="00DD3ECD"/>
    <w:rsid w:val="00DF4954"/>
    <w:rsid w:val="00E07E00"/>
    <w:rsid w:val="00E10E50"/>
    <w:rsid w:val="00E34993"/>
    <w:rsid w:val="00E76D52"/>
    <w:rsid w:val="00EA0C02"/>
    <w:rsid w:val="00ED40AC"/>
    <w:rsid w:val="00EE5183"/>
    <w:rsid w:val="00EF1E71"/>
    <w:rsid w:val="00F41F24"/>
    <w:rsid w:val="00F45734"/>
    <w:rsid w:val="00F50637"/>
    <w:rsid w:val="00F67D2C"/>
    <w:rsid w:val="00F7512C"/>
    <w:rsid w:val="00F90C36"/>
    <w:rsid w:val="00FA5D65"/>
    <w:rsid w:val="00FC698B"/>
    <w:rsid w:val="00FE61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BA20F"/>
  <w15:chartTrackingRefBased/>
  <w15:docId w15:val="{4F1621BA-5F94-4882-AAFA-6D6667D43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B26"/>
    <w:pPr>
      <w:spacing w:after="60" w:line="240" w:lineRule="auto"/>
      <w:jc w:val="both"/>
    </w:pPr>
  </w:style>
  <w:style w:type="paragraph" w:styleId="Heading1">
    <w:name w:val="heading 1"/>
    <w:basedOn w:val="Normal"/>
    <w:next w:val="Normal"/>
    <w:link w:val="Heading1Char"/>
    <w:uiPriority w:val="9"/>
    <w:qFormat/>
    <w:rsid w:val="00800B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D40AC"/>
    <w:pPr>
      <w:keepNext/>
      <w:keepLines/>
      <w:numPr>
        <w:numId w:val="1"/>
      </w:numPr>
      <w:spacing w:before="40" w:after="0"/>
      <w:outlineLvl w:val="1"/>
    </w:pPr>
    <w:rPr>
      <w:rFonts w:eastAsiaTheme="majorEastAsia" w:cstheme="majorBidi"/>
      <w:color w:val="2E74B5" w:themeColor="accent1" w:themeShade="BF"/>
      <w:sz w:val="28"/>
      <w:szCs w:val="26"/>
    </w:rPr>
  </w:style>
  <w:style w:type="paragraph" w:styleId="Heading3">
    <w:name w:val="heading 3"/>
    <w:basedOn w:val="Normal"/>
    <w:next w:val="Normal"/>
    <w:link w:val="Heading3Char"/>
    <w:uiPriority w:val="9"/>
    <w:unhideWhenUsed/>
    <w:qFormat/>
    <w:rsid w:val="00ED40AC"/>
    <w:pPr>
      <w:keepNext/>
      <w:keepLines/>
      <w:numPr>
        <w:ilvl w:val="1"/>
        <w:numId w:val="1"/>
      </w:numPr>
      <w:spacing w:before="40" w:after="0"/>
      <w:outlineLvl w:val="2"/>
    </w:pPr>
    <w:rPr>
      <w:rFonts w:ascii="Calibri" w:eastAsiaTheme="majorEastAsia" w:hAnsi="Calibr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D40AC"/>
    <w:pPr>
      <w:keepNext/>
      <w:keepLines/>
      <w:numPr>
        <w:ilvl w:val="2"/>
        <w:numId w:val="1"/>
      </w:numPr>
      <w:spacing w:before="40" w:after="0"/>
      <w:outlineLvl w:val="3"/>
    </w:pPr>
    <w:rPr>
      <w:rFonts w:eastAsiaTheme="majorEastAsia"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B2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D40AC"/>
    <w:rPr>
      <w:rFonts w:eastAsiaTheme="majorEastAsia" w:cstheme="majorBidi"/>
      <w:color w:val="2E74B5" w:themeColor="accent1" w:themeShade="BF"/>
      <w:sz w:val="28"/>
      <w:szCs w:val="26"/>
    </w:rPr>
  </w:style>
  <w:style w:type="character" w:customStyle="1" w:styleId="Heading3Char">
    <w:name w:val="Heading 3 Char"/>
    <w:basedOn w:val="DefaultParagraphFont"/>
    <w:link w:val="Heading3"/>
    <w:uiPriority w:val="9"/>
    <w:rsid w:val="00ED40AC"/>
    <w:rPr>
      <w:rFonts w:ascii="Calibri" w:eastAsiaTheme="majorEastAsia" w:hAnsi="Calibri" w:cstheme="majorBidi"/>
      <w:color w:val="1F4D78" w:themeColor="accent1" w:themeShade="7F"/>
      <w:sz w:val="24"/>
      <w:szCs w:val="24"/>
    </w:rPr>
  </w:style>
  <w:style w:type="character" w:customStyle="1" w:styleId="Heading4Char">
    <w:name w:val="Heading 4 Char"/>
    <w:basedOn w:val="DefaultParagraphFont"/>
    <w:link w:val="Heading4"/>
    <w:uiPriority w:val="9"/>
    <w:rsid w:val="00ED40AC"/>
    <w:rPr>
      <w:rFonts w:eastAsiaTheme="majorEastAsia" w:cstheme="majorBidi"/>
      <w:i/>
      <w:iCs/>
      <w:color w:val="2E74B5" w:themeColor="accent1" w:themeShade="BF"/>
    </w:rPr>
  </w:style>
  <w:style w:type="paragraph" w:styleId="ListParagraph">
    <w:name w:val="List Paragraph"/>
    <w:basedOn w:val="Normal"/>
    <w:uiPriority w:val="34"/>
    <w:qFormat/>
    <w:rsid w:val="00800B26"/>
    <w:pPr>
      <w:ind w:left="720"/>
      <w:contextualSpacing/>
    </w:pPr>
  </w:style>
  <w:style w:type="character" w:styleId="CommentReference">
    <w:name w:val="annotation reference"/>
    <w:basedOn w:val="DefaultParagraphFont"/>
    <w:semiHidden/>
    <w:unhideWhenUsed/>
    <w:rsid w:val="00ED40AC"/>
    <w:rPr>
      <w:sz w:val="16"/>
      <w:szCs w:val="16"/>
    </w:rPr>
  </w:style>
  <w:style w:type="paragraph" w:styleId="CommentText">
    <w:name w:val="annotation text"/>
    <w:basedOn w:val="Normal"/>
    <w:link w:val="CommentTextChar"/>
    <w:semiHidden/>
    <w:unhideWhenUsed/>
    <w:rsid w:val="00ED40AC"/>
    <w:rPr>
      <w:sz w:val="20"/>
      <w:szCs w:val="20"/>
    </w:rPr>
  </w:style>
  <w:style w:type="character" w:customStyle="1" w:styleId="CommentTextChar">
    <w:name w:val="Comment Text Char"/>
    <w:basedOn w:val="DefaultParagraphFont"/>
    <w:link w:val="CommentText"/>
    <w:uiPriority w:val="99"/>
    <w:semiHidden/>
    <w:rsid w:val="00ED40AC"/>
    <w:rPr>
      <w:sz w:val="20"/>
      <w:szCs w:val="20"/>
    </w:rPr>
  </w:style>
  <w:style w:type="paragraph" w:styleId="CommentSubject">
    <w:name w:val="annotation subject"/>
    <w:basedOn w:val="CommentText"/>
    <w:next w:val="CommentText"/>
    <w:link w:val="CommentSubjectChar"/>
    <w:uiPriority w:val="99"/>
    <w:semiHidden/>
    <w:unhideWhenUsed/>
    <w:rsid w:val="00ED40AC"/>
    <w:rPr>
      <w:b/>
      <w:bCs/>
    </w:rPr>
  </w:style>
  <w:style w:type="character" w:customStyle="1" w:styleId="CommentSubjectChar">
    <w:name w:val="Comment Subject Char"/>
    <w:basedOn w:val="CommentTextChar"/>
    <w:link w:val="CommentSubject"/>
    <w:uiPriority w:val="99"/>
    <w:semiHidden/>
    <w:rsid w:val="00ED40AC"/>
    <w:rPr>
      <w:b/>
      <w:bCs/>
      <w:sz w:val="20"/>
      <w:szCs w:val="20"/>
    </w:rPr>
  </w:style>
  <w:style w:type="paragraph" w:styleId="BalloonText">
    <w:name w:val="Balloon Text"/>
    <w:basedOn w:val="Normal"/>
    <w:link w:val="BalloonTextChar"/>
    <w:uiPriority w:val="99"/>
    <w:semiHidden/>
    <w:unhideWhenUsed/>
    <w:rsid w:val="00ED40A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0AC"/>
    <w:rPr>
      <w:rFonts w:ascii="Segoe UI" w:hAnsi="Segoe UI" w:cs="Segoe UI"/>
      <w:sz w:val="18"/>
      <w:szCs w:val="18"/>
    </w:rPr>
  </w:style>
  <w:style w:type="table" w:styleId="LightShading">
    <w:name w:val="Light Shading"/>
    <w:basedOn w:val="TableNormal"/>
    <w:uiPriority w:val="60"/>
    <w:rsid w:val="00ED40AC"/>
    <w:pPr>
      <w:spacing w:after="0" w:line="240" w:lineRule="auto"/>
    </w:pPr>
    <w:rPr>
      <w:rFonts w:ascii="Times New Roman" w:eastAsia="Times New Roman" w:hAnsi="Times New Roman" w:cs="Times New Roman"/>
      <w:color w:val="000000" w:themeColor="text1" w:themeShade="BF"/>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Table7Colorful-Accent5">
    <w:name w:val="List Table 7 Colorful Accent 5"/>
    <w:basedOn w:val="TableNormal"/>
    <w:uiPriority w:val="52"/>
    <w:rsid w:val="00ED40AC"/>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D40AC"/>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5">
    <w:name w:val="Grid Table 5 Dark Accent 5"/>
    <w:basedOn w:val="TableNormal"/>
    <w:uiPriority w:val="50"/>
    <w:rsid w:val="00ED40A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Header">
    <w:name w:val="header"/>
    <w:basedOn w:val="Normal"/>
    <w:link w:val="HeaderChar"/>
    <w:uiPriority w:val="99"/>
    <w:unhideWhenUsed/>
    <w:rsid w:val="00ED40AC"/>
    <w:pPr>
      <w:tabs>
        <w:tab w:val="center" w:pos="4680"/>
        <w:tab w:val="right" w:pos="9360"/>
      </w:tabs>
      <w:spacing w:after="0"/>
    </w:pPr>
  </w:style>
  <w:style w:type="character" w:customStyle="1" w:styleId="HeaderChar">
    <w:name w:val="Header Char"/>
    <w:basedOn w:val="DefaultParagraphFont"/>
    <w:link w:val="Header"/>
    <w:uiPriority w:val="99"/>
    <w:rsid w:val="00ED40AC"/>
  </w:style>
  <w:style w:type="paragraph" w:styleId="Footer">
    <w:name w:val="footer"/>
    <w:basedOn w:val="Normal"/>
    <w:link w:val="FooterChar"/>
    <w:uiPriority w:val="99"/>
    <w:unhideWhenUsed/>
    <w:rsid w:val="00ED40AC"/>
    <w:pPr>
      <w:tabs>
        <w:tab w:val="center" w:pos="4680"/>
        <w:tab w:val="right" w:pos="9360"/>
      </w:tabs>
      <w:spacing w:after="0"/>
    </w:pPr>
  </w:style>
  <w:style w:type="character" w:customStyle="1" w:styleId="FooterChar">
    <w:name w:val="Footer Char"/>
    <w:basedOn w:val="DefaultParagraphFont"/>
    <w:link w:val="Footer"/>
    <w:uiPriority w:val="99"/>
    <w:rsid w:val="00ED40AC"/>
  </w:style>
  <w:style w:type="paragraph" w:styleId="ListBullet">
    <w:name w:val="List Bullet"/>
    <w:basedOn w:val="Normal"/>
    <w:autoRedefine/>
    <w:rsid w:val="00ED40AC"/>
    <w:pPr>
      <w:numPr>
        <w:numId w:val="6"/>
      </w:numPr>
      <w:jc w:val="left"/>
    </w:pPr>
    <w:rPr>
      <w:rFonts w:ascii="Times New Roman" w:eastAsia="Times New Roman" w:hAnsi="Times New Roman" w:cs="Times New Roman"/>
      <w:sz w:val="24"/>
      <w:szCs w:val="20"/>
      <w:lang w:val="en-US"/>
    </w:rPr>
  </w:style>
  <w:style w:type="table" w:styleId="GridTable4-Accent1">
    <w:name w:val="Grid Table 4 Accent 1"/>
    <w:basedOn w:val="TableNormal"/>
    <w:uiPriority w:val="49"/>
    <w:rsid w:val="00FA5D6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basedOn w:val="DefaultParagraphFont"/>
    <w:uiPriority w:val="99"/>
    <w:unhideWhenUsed/>
    <w:rsid w:val="00FA5D65"/>
    <w:rPr>
      <w:color w:val="0563C1" w:themeColor="hyperlink"/>
      <w:u w:val="single"/>
    </w:rPr>
  </w:style>
  <w:style w:type="character" w:styleId="FollowedHyperlink">
    <w:name w:val="FollowedHyperlink"/>
    <w:basedOn w:val="DefaultParagraphFont"/>
    <w:uiPriority w:val="99"/>
    <w:semiHidden/>
    <w:unhideWhenUsed/>
    <w:rsid w:val="00FA5D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3579">
      <w:bodyDiv w:val="1"/>
      <w:marLeft w:val="0"/>
      <w:marRight w:val="0"/>
      <w:marTop w:val="0"/>
      <w:marBottom w:val="0"/>
      <w:divBdr>
        <w:top w:val="none" w:sz="0" w:space="0" w:color="auto"/>
        <w:left w:val="none" w:sz="0" w:space="0" w:color="auto"/>
        <w:bottom w:val="none" w:sz="0" w:space="0" w:color="auto"/>
        <w:right w:val="none" w:sz="0" w:space="0" w:color="auto"/>
      </w:divBdr>
    </w:div>
    <w:div w:id="475531988">
      <w:bodyDiv w:val="1"/>
      <w:marLeft w:val="0"/>
      <w:marRight w:val="0"/>
      <w:marTop w:val="0"/>
      <w:marBottom w:val="0"/>
      <w:divBdr>
        <w:top w:val="none" w:sz="0" w:space="0" w:color="auto"/>
        <w:left w:val="none" w:sz="0" w:space="0" w:color="auto"/>
        <w:bottom w:val="none" w:sz="0" w:space="0" w:color="auto"/>
        <w:right w:val="none" w:sz="0" w:space="0" w:color="auto"/>
      </w:divBdr>
    </w:div>
    <w:div w:id="74248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OSCE Document" ma:contentTypeID="0x010100B61FC88BBA394FB1902A96B76170DF590081F31D61B3F34B87AE5ACEA58FB5B51B0017AB8275E3F3A647966803DEDAB4D42B" ma:contentTypeVersion="19" ma:contentTypeDescription="OSCE Standard Document" ma:contentTypeScope="" ma:versionID="5f5c719cb118bf6d4a3a3b668f554956">
  <xsd:schema xmlns:xsd="http://www.w3.org/2001/XMLSchema" xmlns:xs="http://www.w3.org/2001/XMLSchema" xmlns:p="http://schemas.microsoft.com/office/2006/metadata/properties" xmlns:ns2="1fc8b376-a36e-41c2-b0ec-ba8a570258d0" xmlns:ns3="8ae9e4b5-a25c-480e-bd4a-637337fa20a2" xmlns:ns4="9fdd1006-5964-4d57-9463-5ff5a3123ad5" targetNamespace="http://schemas.microsoft.com/office/2006/metadata/properties" ma:root="true" ma:fieldsID="9e5af9b71f67a6482ce51616c2edf6dd" ns2:_="" ns3:_="" ns4:_="">
    <xsd:import namespace="1fc8b376-a36e-41c2-b0ec-ba8a570258d0"/>
    <xsd:import namespace="8ae9e4b5-a25c-480e-bd4a-637337fa20a2"/>
    <xsd:import namespace="9fdd1006-5964-4d57-9463-5ff5a3123ad5"/>
    <xsd:element name="properties">
      <xsd:complexType>
        <xsd:sequence>
          <xsd:element name="documentManagement">
            <xsd:complexType>
              <xsd:all>
                <xsd:element ref="ns2:idLL" minOccurs="0"/>
                <xsd:element ref="ns2:IsRecord" minOccurs="0"/>
                <xsd:element ref="ns2:IsClosed" minOccurs="0"/>
                <xsd:element ref="ns2:IsObsolete" minOccurs="0"/>
                <xsd:element ref="ns2:LastMajorVersionID" minOccurs="0"/>
                <xsd:element ref="ns2:ActionsPending"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8b376-a36e-41c2-b0ec-ba8a570258d0" elementFormDefault="qualified">
    <xsd:import namespace="http://schemas.microsoft.com/office/2006/documentManagement/types"/>
    <xsd:import namespace="http://schemas.microsoft.com/office/infopath/2007/PartnerControls"/>
    <xsd:element name="idLL" ma:index="8" nillable="true" ma:displayName="idLL" ma:default="0" ma:hidden="true" ma:internalName="idLL">
      <xsd:simpleType>
        <xsd:restriction base="dms:Number"/>
      </xsd:simpleType>
    </xsd:element>
    <xsd:element name="IsRecord" ma:index="9" nillable="true" ma:displayName="IsRecord" ma:hidden="true" ma:internalName="IsRecord">
      <xsd:simpleType>
        <xsd:restriction base="dms:Boolean"/>
      </xsd:simpleType>
    </xsd:element>
    <xsd:element name="IsClosed" ma:index="10" nillable="true" ma:displayName="IsClosed" ma:hidden="true" ma:internalName="IsClosed">
      <xsd:simpleType>
        <xsd:restriction base="dms:Boolean"/>
      </xsd:simpleType>
    </xsd:element>
    <xsd:element name="IsObsolete" ma:index="11" nillable="true" ma:displayName="IsObsolete" ma:hidden="true" ma:indexed="true" ma:internalName="IsObsolete">
      <xsd:simpleType>
        <xsd:restriction base="dms:Boolean"/>
      </xsd:simpleType>
    </xsd:element>
    <xsd:element name="LastMajorVersionID" ma:index="12" nillable="true" ma:displayName="Last Major Version ID" ma:hidden="true" ma:internalName="LastMajorVersionID">
      <xsd:simpleType>
        <xsd:restriction base="dms:Text"/>
      </xsd:simpleType>
    </xsd:element>
    <xsd:element name="ActionsPending" ma:index="13" nillable="true" ma:displayName="Actions Pending" ma:hidden="true" ma:internalName="ActionsPend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e9e4b5-a25c-480e-bd4a-637337fa20a2"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dd1006-5964-4d57-9463-5ff5a3123ad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ae9e4b5-a25c-480e-bd4a-637337fa20a2">SECPCU-816831299-46625</_dlc_DocId>
    <_dlc_DocIdUrl xmlns="8ae9e4b5-a25c-480e-bd4a-637337fa20a2">
      <Url>https://jarvis.osce.org/sites/sec_pcu/drm/_layouts/15/DocIdRedir.aspx?ID=SECPCU-816831299-46625</Url>
      <Description>SECPCU-816831299-46625</Description>
    </_dlc_DocIdUrl>
    <IsRecord xmlns="1fc8b376-a36e-41c2-b0ec-ba8a570258d0" xsi:nil="true"/>
    <ActionsPending xmlns="1fc8b376-a36e-41c2-b0ec-ba8a570258d0" xsi:nil="true"/>
    <IsClosed xmlns="1fc8b376-a36e-41c2-b0ec-ba8a570258d0" xsi:nil="true"/>
    <LastMajorVersionID xmlns="1fc8b376-a36e-41c2-b0ec-ba8a570258d0" xsi:nil="true"/>
    <idLL xmlns="1fc8b376-a36e-41c2-b0ec-ba8a570258d0">0</idLL>
    <IsObsolete xmlns="1fc8b376-a36e-41c2-b0ec-ba8a570258d0" xsi:nil="true"/>
  </documentManagement>
</p:properties>
</file>

<file path=customXml/itemProps1.xml><?xml version="1.0" encoding="utf-8"?>
<ds:datastoreItem xmlns:ds="http://schemas.openxmlformats.org/officeDocument/2006/customXml" ds:itemID="{E85BA421-2800-4A25-9849-E16874B4D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8b376-a36e-41c2-b0ec-ba8a570258d0"/>
    <ds:schemaRef ds:uri="8ae9e4b5-a25c-480e-bd4a-637337fa20a2"/>
    <ds:schemaRef ds:uri="9fdd1006-5964-4d57-9463-5ff5a3123a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0885FA-0463-445B-8006-78E756DF4A6C}">
  <ds:schemaRefs>
    <ds:schemaRef ds:uri="http://schemas.microsoft.com/sharepoint/events"/>
  </ds:schemaRefs>
</ds:datastoreItem>
</file>

<file path=customXml/itemProps3.xml><?xml version="1.0" encoding="utf-8"?>
<ds:datastoreItem xmlns:ds="http://schemas.openxmlformats.org/officeDocument/2006/customXml" ds:itemID="{AB51FE5C-7821-47CE-87C9-854308D59E9C}">
  <ds:schemaRefs>
    <ds:schemaRef ds:uri="http://schemas.microsoft.com/sharepoint/v3/contenttype/forms"/>
  </ds:schemaRefs>
</ds:datastoreItem>
</file>

<file path=customXml/itemProps4.xml><?xml version="1.0" encoding="utf-8"?>
<ds:datastoreItem xmlns:ds="http://schemas.openxmlformats.org/officeDocument/2006/customXml" ds:itemID="{0A212DBC-8FAA-4F17-9C1F-F0CE79561299}">
  <ds:schemaRefs>
    <ds:schemaRef ds:uri="http://schemas.microsoft.com/office/2006/documentManagement/types"/>
    <ds:schemaRef ds:uri="9fdd1006-5964-4d57-9463-5ff5a3123ad5"/>
    <ds:schemaRef ds:uri="http://www.w3.org/XML/1998/namespace"/>
    <ds:schemaRef ds:uri="http://purl.org/dc/elements/1.1/"/>
    <ds:schemaRef ds:uri="http://schemas.microsoft.com/office/2006/metadata/properties"/>
    <ds:schemaRef ds:uri="8ae9e4b5-a25c-480e-bd4a-637337fa20a2"/>
    <ds:schemaRef ds:uri="http://purl.org/dc/dcmitype/"/>
    <ds:schemaRef ds:uri="http://schemas.microsoft.com/office/infopath/2007/PartnerControls"/>
    <ds:schemaRef ds:uri="1fc8b376-a36e-41c2-b0ec-ba8a570258d0"/>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Tosiou</dc:creator>
  <cp:keywords/>
  <dc:description/>
  <cp:lastModifiedBy>Khawla Farah</cp:lastModifiedBy>
  <cp:revision>5</cp:revision>
  <cp:lastPrinted>2019-06-26T13:04:00Z</cp:lastPrinted>
  <dcterms:created xsi:type="dcterms:W3CDTF">2024-10-04T08:21:00Z</dcterms:created>
  <dcterms:modified xsi:type="dcterms:W3CDTF">2024-10-04T09:52:00Z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0x010100B61FC88BBA394FB1902A96B76170DF590081F31D61B3F34B87AE5ACEA58FB5B51B0017AB8275E3F3A647966803DEDAB4D42B</vt:lpwstr>
  </property>
  <property fmtid="{D5CDD505-2E9C-101B-9397-08002B2CF9AE}" pid="3" name="_dlc_DocIdItemGuid">
    <vt:lpwstr>9344c2a7-2004-42ea-b44f-b37c90776c4e</vt:lpwstr>
  </property>
</Properties>
</file>