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DA8" w:rsidRPr="009059B3" w:rsidRDefault="00B03DA8" w:rsidP="00B03DA8">
      <w:pPr>
        <w:keepNext/>
        <w:spacing w:after="0" w:line="240" w:lineRule="auto"/>
        <w:jc w:val="center"/>
        <w:outlineLvl w:val="0"/>
        <w:rPr>
          <w:rFonts w:eastAsia="Times New Roman" w:cstheme="minorHAnsi"/>
          <w:b/>
          <w:sz w:val="32"/>
          <w:szCs w:val="20"/>
          <w:lang w:val="en-US"/>
        </w:rPr>
      </w:pPr>
      <w:r>
        <w:rPr>
          <w:rFonts w:eastAsia="Times New Roman" w:cstheme="minorHAnsi"/>
          <w:b/>
          <w:sz w:val="32"/>
          <w:szCs w:val="20"/>
          <w:lang w:val="en-US"/>
        </w:rPr>
        <w:t>Annex E</w:t>
      </w:r>
      <w:r w:rsidRPr="009059B3">
        <w:rPr>
          <w:rFonts w:eastAsia="Times New Roman" w:cstheme="minorHAnsi"/>
          <w:b/>
          <w:sz w:val="32"/>
          <w:szCs w:val="20"/>
          <w:lang w:val="en-US"/>
        </w:rPr>
        <w:t xml:space="preserve"> – </w:t>
      </w:r>
      <w:r>
        <w:rPr>
          <w:rFonts w:eastAsia="Times New Roman" w:cstheme="minorHAnsi"/>
          <w:b/>
          <w:sz w:val="32"/>
          <w:szCs w:val="20"/>
          <w:lang w:val="en-US"/>
        </w:rPr>
        <w:t>Financial Proposal – Pricing Format</w:t>
      </w:r>
    </w:p>
    <w:p w:rsidR="00B03DA8" w:rsidRDefault="00B03DA8" w:rsidP="00B03DA8">
      <w:pPr>
        <w:spacing w:after="0"/>
        <w:jc w:val="both"/>
        <w:rPr>
          <w:sz w:val="20"/>
          <w:szCs w:val="20"/>
          <w:lang w:val="en-US"/>
        </w:rPr>
      </w:pPr>
    </w:p>
    <w:p w:rsidR="00B03DA8" w:rsidRPr="008B728D" w:rsidRDefault="00B03DA8" w:rsidP="00B03DA8">
      <w:pPr>
        <w:spacing w:after="0"/>
        <w:jc w:val="both"/>
        <w:rPr>
          <w:b/>
          <w:sz w:val="20"/>
          <w:szCs w:val="20"/>
          <w:lang w:val="en-US"/>
        </w:rPr>
      </w:pPr>
    </w:p>
    <w:tbl>
      <w:tblPr>
        <w:tblStyle w:val="TableGrid"/>
        <w:tblW w:w="0" w:type="auto"/>
        <w:tblLook w:val="04A0" w:firstRow="1" w:lastRow="0" w:firstColumn="1" w:lastColumn="0" w:noHBand="0" w:noVBand="1"/>
      </w:tblPr>
      <w:tblGrid>
        <w:gridCol w:w="3080"/>
        <w:gridCol w:w="1281"/>
        <w:gridCol w:w="2693"/>
        <w:gridCol w:w="2188"/>
      </w:tblGrid>
      <w:tr w:rsidR="00B03DA8" w:rsidRPr="008B728D" w:rsidTr="00122A3E">
        <w:trPr>
          <w:cantSplit/>
          <w:tblHeader/>
        </w:trPr>
        <w:tc>
          <w:tcPr>
            <w:tcW w:w="3080" w:type="dxa"/>
          </w:tcPr>
          <w:p w:rsidR="00B03DA8" w:rsidRPr="008B728D" w:rsidRDefault="00B03DA8" w:rsidP="00B82AB9">
            <w:pPr>
              <w:jc w:val="both"/>
              <w:rPr>
                <w:b/>
                <w:sz w:val="20"/>
                <w:szCs w:val="20"/>
                <w:lang w:val="en-US"/>
              </w:rPr>
            </w:pPr>
            <w:r w:rsidRPr="008B728D">
              <w:rPr>
                <w:b/>
                <w:sz w:val="20"/>
                <w:szCs w:val="20"/>
                <w:lang w:val="en-US"/>
              </w:rPr>
              <w:t>Description</w:t>
            </w:r>
          </w:p>
        </w:tc>
        <w:tc>
          <w:tcPr>
            <w:tcW w:w="1281" w:type="dxa"/>
          </w:tcPr>
          <w:p w:rsidR="00B03DA8" w:rsidRPr="008B728D" w:rsidRDefault="00B03DA8" w:rsidP="00B82AB9">
            <w:pPr>
              <w:jc w:val="both"/>
              <w:rPr>
                <w:b/>
                <w:sz w:val="20"/>
                <w:szCs w:val="20"/>
                <w:lang w:val="en-US"/>
              </w:rPr>
            </w:pPr>
            <w:r w:rsidRPr="008B728D">
              <w:rPr>
                <w:b/>
                <w:sz w:val="20"/>
                <w:szCs w:val="20"/>
                <w:lang w:val="en-US"/>
              </w:rPr>
              <w:t>Unit</w:t>
            </w:r>
          </w:p>
        </w:tc>
        <w:tc>
          <w:tcPr>
            <w:tcW w:w="2693" w:type="dxa"/>
          </w:tcPr>
          <w:p w:rsidR="00B03DA8" w:rsidRPr="008B728D" w:rsidRDefault="00B03DA8" w:rsidP="00B82AB9">
            <w:pPr>
              <w:jc w:val="center"/>
              <w:rPr>
                <w:b/>
                <w:sz w:val="20"/>
                <w:szCs w:val="20"/>
                <w:lang w:val="en-US"/>
              </w:rPr>
            </w:pPr>
            <w:r w:rsidRPr="008B728D">
              <w:rPr>
                <w:b/>
                <w:sz w:val="20"/>
                <w:szCs w:val="20"/>
                <w:lang w:val="en-US"/>
              </w:rPr>
              <w:t>Unit Price (EUR)</w:t>
            </w:r>
          </w:p>
        </w:tc>
        <w:tc>
          <w:tcPr>
            <w:tcW w:w="2188" w:type="dxa"/>
          </w:tcPr>
          <w:p w:rsidR="00B03DA8" w:rsidRPr="008B728D" w:rsidRDefault="00B03DA8" w:rsidP="00B82AB9">
            <w:pPr>
              <w:jc w:val="both"/>
              <w:rPr>
                <w:b/>
                <w:sz w:val="20"/>
                <w:szCs w:val="20"/>
                <w:lang w:val="en-US"/>
              </w:rPr>
            </w:pPr>
            <w:r w:rsidRPr="008B728D">
              <w:rPr>
                <w:b/>
                <w:sz w:val="20"/>
                <w:szCs w:val="20"/>
                <w:lang w:val="en-US"/>
              </w:rPr>
              <w:t>Annual Price (EUR)</w:t>
            </w:r>
          </w:p>
        </w:tc>
      </w:tr>
      <w:tr w:rsidR="00F73F1E" w:rsidTr="00122A3E">
        <w:trPr>
          <w:cantSplit/>
        </w:trPr>
        <w:tc>
          <w:tcPr>
            <w:tcW w:w="3080" w:type="dxa"/>
          </w:tcPr>
          <w:p w:rsidR="00F73F1E" w:rsidRPr="00654F02" w:rsidDel="003465EB" w:rsidRDefault="00F73F1E" w:rsidP="003465EB">
            <w:pPr>
              <w:tabs>
                <w:tab w:val="num" w:pos="360"/>
              </w:tabs>
              <w:spacing w:after="60"/>
              <w:ind w:left="360" w:hanging="360"/>
              <w:rPr>
                <w:rFonts w:eastAsia="Times New Roman" w:cs="Times New Roman"/>
                <w:sz w:val="20"/>
                <w:lang w:val="en-AU"/>
              </w:rPr>
            </w:pPr>
            <w:r w:rsidRPr="00654F02">
              <w:rPr>
                <w:rFonts w:eastAsia="Times New Roman" w:cs="Times New Roman"/>
                <w:sz w:val="20"/>
                <w:lang w:val="en-AU"/>
              </w:rPr>
              <w:t>One-time implementation cost of DR capability, including consultancy to OSCE if required</w:t>
            </w:r>
          </w:p>
        </w:tc>
        <w:tc>
          <w:tcPr>
            <w:tcW w:w="1281" w:type="dxa"/>
          </w:tcPr>
          <w:p w:rsidR="00F73F1E" w:rsidDel="003465EB" w:rsidRDefault="00F73F1E" w:rsidP="00B82AB9">
            <w:pPr>
              <w:jc w:val="both"/>
              <w:rPr>
                <w:sz w:val="20"/>
                <w:szCs w:val="20"/>
                <w:lang w:val="en-US"/>
              </w:rPr>
            </w:pPr>
            <w:r>
              <w:rPr>
                <w:sz w:val="20"/>
                <w:szCs w:val="20"/>
                <w:lang w:val="en-US"/>
              </w:rPr>
              <w:t>One-time</w:t>
            </w:r>
          </w:p>
        </w:tc>
        <w:tc>
          <w:tcPr>
            <w:tcW w:w="2693" w:type="dxa"/>
          </w:tcPr>
          <w:p w:rsidR="00F73F1E" w:rsidRDefault="00F73F1E" w:rsidP="00B82AB9">
            <w:pPr>
              <w:jc w:val="both"/>
              <w:rPr>
                <w:sz w:val="20"/>
                <w:szCs w:val="20"/>
                <w:lang w:val="en-US"/>
              </w:rPr>
            </w:pPr>
          </w:p>
        </w:tc>
        <w:tc>
          <w:tcPr>
            <w:tcW w:w="2188" w:type="dxa"/>
          </w:tcPr>
          <w:p w:rsidR="00F73F1E" w:rsidRDefault="00F73F1E" w:rsidP="00B82AB9">
            <w:pPr>
              <w:jc w:val="both"/>
              <w:rPr>
                <w:sz w:val="20"/>
                <w:szCs w:val="20"/>
                <w:lang w:val="en-US"/>
              </w:rPr>
            </w:pPr>
          </w:p>
        </w:tc>
      </w:tr>
      <w:tr w:rsidR="00B03DA8" w:rsidTr="00122A3E">
        <w:trPr>
          <w:cantSplit/>
        </w:trPr>
        <w:tc>
          <w:tcPr>
            <w:tcW w:w="3080" w:type="dxa"/>
          </w:tcPr>
          <w:p w:rsidR="00B03DA8" w:rsidRPr="00C636D6" w:rsidRDefault="00B03DA8" w:rsidP="00C636D6">
            <w:pPr>
              <w:tabs>
                <w:tab w:val="num" w:pos="360"/>
              </w:tabs>
              <w:spacing w:after="60"/>
              <w:ind w:left="360" w:hanging="360"/>
              <w:rPr>
                <w:rFonts w:eastAsia="Times New Roman" w:cs="Times New Roman"/>
                <w:sz w:val="20"/>
                <w:lang w:val="en-AU"/>
              </w:rPr>
            </w:pPr>
            <w:r w:rsidRPr="00C636D6">
              <w:rPr>
                <w:rFonts w:eastAsia="Times New Roman" w:cs="Times New Roman"/>
                <w:sz w:val="20"/>
                <w:lang w:val="en-AU"/>
              </w:rPr>
              <w:t>Manage</w:t>
            </w:r>
            <w:r w:rsidR="00405BA9" w:rsidRPr="00C636D6">
              <w:rPr>
                <w:rFonts w:eastAsia="Times New Roman" w:cs="Times New Roman"/>
                <w:sz w:val="20"/>
                <w:lang w:val="en-AU"/>
              </w:rPr>
              <w:t xml:space="preserve">ment and hosting of </w:t>
            </w:r>
            <w:r w:rsidRPr="00C636D6">
              <w:rPr>
                <w:rFonts w:eastAsia="Times New Roman" w:cs="Times New Roman"/>
                <w:sz w:val="20"/>
                <w:lang w:val="en-AU"/>
              </w:rPr>
              <w:t xml:space="preserve"> </w:t>
            </w:r>
            <w:r w:rsidR="003465EB" w:rsidRPr="00C636D6">
              <w:rPr>
                <w:rFonts w:eastAsia="Times New Roman" w:cs="Times New Roman"/>
                <w:sz w:val="20"/>
                <w:lang w:val="en-AU"/>
              </w:rPr>
              <w:t>DR  services</w:t>
            </w:r>
            <w:r w:rsidRPr="00C636D6">
              <w:rPr>
                <w:rFonts w:eastAsia="Times New Roman" w:cs="Times New Roman"/>
                <w:sz w:val="20"/>
                <w:lang w:val="en-AU"/>
              </w:rPr>
              <w:t xml:space="preserve">  </w:t>
            </w:r>
            <w:r w:rsidR="00C636D6" w:rsidRPr="00CC225C">
              <w:rPr>
                <w:rFonts w:eastAsia="Times New Roman" w:cs="Times New Roman"/>
                <w:sz w:val="20"/>
                <w:lang w:val="en-AU"/>
              </w:rPr>
              <w:t xml:space="preserve"> (including </w:t>
            </w:r>
            <w:r w:rsidR="00C636D6">
              <w:rPr>
                <w:rFonts w:eastAsia="Times New Roman" w:cs="Times New Roman"/>
                <w:sz w:val="20"/>
                <w:lang w:val="en-AU"/>
              </w:rPr>
              <w:t xml:space="preserve">hardware hosting and </w:t>
            </w:r>
            <w:r w:rsidR="00C636D6" w:rsidRPr="00CC225C">
              <w:rPr>
                <w:rFonts w:eastAsia="Times New Roman" w:cs="Times New Roman"/>
                <w:sz w:val="20"/>
                <w:lang w:val="en-AU"/>
              </w:rPr>
              <w:t>virtual replication of OSCE servers</w:t>
            </w:r>
            <w:r w:rsidR="00122A3E">
              <w:rPr>
                <w:rFonts w:eastAsia="Times New Roman" w:cs="Times New Roman"/>
                <w:sz w:val="20"/>
                <w:lang w:val="en-AU"/>
              </w:rPr>
              <w:t>/storage</w:t>
            </w:r>
            <w:r w:rsidR="00C636D6" w:rsidRPr="00CC225C">
              <w:rPr>
                <w:rFonts w:eastAsia="Times New Roman" w:cs="Times New Roman"/>
                <w:sz w:val="20"/>
                <w:lang w:val="en-AU"/>
              </w:rPr>
              <w:t xml:space="preserve"> </w:t>
            </w:r>
            <w:r w:rsidR="00C636D6">
              <w:rPr>
                <w:rFonts w:eastAsia="Times New Roman" w:cs="Times New Roman"/>
                <w:sz w:val="20"/>
                <w:lang w:val="en-AU"/>
              </w:rPr>
              <w:t>to bidders own shared / virtual infrastructure</w:t>
            </w:r>
            <w:r w:rsidR="00C636D6" w:rsidRPr="00CC225C">
              <w:rPr>
                <w:rFonts w:eastAsia="Times New Roman" w:cs="Times New Roman"/>
                <w:sz w:val="20"/>
                <w:lang w:val="en-AU"/>
              </w:rPr>
              <w:t>)</w:t>
            </w:r>
          </w:p>
        </w:tc>
        <w:tc>
          <w:tcPr>
            <w:tcW w:w="1281" w:type="dxa"/>
          </w:tcPr>
          <w:p w:rsidR="00B03DA8" w:rsidRPr="00B03DA8" w:rsidRDefault="00B03DA8" w:rsidP="00B82AB9">
            <w:pPr>
              <w:jc w:val="both"/>
              <w:rPr>
                <w:sz w:val="20"/>
                <w:szCs w:val="20"/>
                <w:lang w:val="en-AU"/>
              </w:rPr>
            </w:pPr>
            <w:r>
              <w:rPr>
                <w:sz w:val="20"/>
                <w:szCs w:val="20"/>
                <w:lang w:val="en-AU"/>
              </w:rPr>
              <w:t>Month</w:t>
            </w:r>
          </w:p>
        </w:tc>
        <w:tc>
          <w:tcPr>
            <w:tcW w:w="2693" w:type="dxa"/>
          </w:tcPr>
          <w:p w:rsidR="00B03DA8" w:rsidRDefault="00B03DA8" w:rsidP="00B82AB9">
            <w:pPr>
              <w:jc w:val="both"/>
              <w:rPr>
                <w:sz w:val="20"/>
                <w:szCs w:val="20"/>
                <w:lang w:val="en-US"/>
              </w:rPr>
            </w:pPr>
          </w:p>
        </w:tc>
        <w:tc>
          <w:tcPr>
            <w:tcW w:w="2188" w:type="dxa"/>
          </w:tcPr>
          <w:p w:rsidR="00B03DA8" w:rsidRDefault="00B03DA8" w:rsidP="00B82AB9">
            <w:pPr>
              <w:jc w:val="both"/>
              <w:rPr>
                <w:sz w:val="20"/>
                <w:szCs w:val="20"/>
                <w:lang w:val="en-US"/>
              </w:rPr>
            </w:pPr>
          </w:p>
        </w:tc>
      </w:tr>
      <w:tr w:rsidR="00B03DA8" w:rsidTr="00122A3E">
        <w:trPr>
          <w:cantSplit/>
        </w:trPr>
        <w:tc>
          <w:tcPr>
            <w:tcW w:w="3080" w:type="dxa"/>
          </w:tcPr>
          <w:p w:rsidR="00B03DA8" w:rsidRPr="00C636D6" w:rsidRDefault="006D4A92" w:rsidP="003465EB">
            <w:pPr>
              <w:tabs>
                <w:tab w:val="num" w:pos="360"/>
              </w:tabs>
              <w:spacing w:after="60"/>
              <w:ind w:left="360" w:hanging="360"/>
              <w:rPr>
                <w:rFonts w:eastAsia="Times New Roman" w:cs="Times New Roman"/>
                <w:sz w:val="20"/>
                <w:lang w:val="en-AU"/>
              </w:rPr>
            </w:pPr>
            <w:r w:rsidRPr="00C636D6">
              <w:rPr>
                <w:rFonts w:eastAsia="Times New Roman" w:cs="Times New Roman"/>
                <w:sz w:val="20"/>
              </w:rPr>
              <w:t xml:space="preserve">Internet </w:t>
            </w:r>
            <w:r w:rsidR="00B03DA8" w:rsidRPr="00C636D6">
              <w:rPr>
                <w:rFonts w:eastAsia="Times New Roman" w:cs="Times New Roman"/>
                <w:sz w:val="20"/>
                <w:lang w:val="en-AU"/>
              </w:rPr>
              <w:t xml:space="preserve">Link </w:t>
            </w:r>
          </w:p>
        </w:tc>
        <w:tc>
          <w:tcPr>
            <w:tcW w:w="1281" w:type="dxa"/>
          </w:tcPr>
          <w:p w:rsidR="00B03DA8" w:rsidRDefault="006D4A92" w:rsidP="00B82AB9">
            <w:pPr>
              <w:jc w:val="both"/>
              <w:rPr>
                <w:sz w:val="20"/>
                <w:szCs w:val="20"/>
                <w:lang w:val="en-US"/>
              </w:rPr>
            </w:pPr>
            <w:r>
              <w:rPr>
                <w:sz w:val="20"/>
                <w:szCs w:val="20"/>
                <w:lang w:val="en-US"/>
              </w:rPr>
              <w:t>Month</w:t>
            </w:r>
          </w:p>
        </w:tc>
        <w:tc>
          <w:tcPr>
            <w:tcW w:w="2693" w:type="dxa"/>
          </w:tcPr>
          <w:p w:rsidR="00B03DA8" w:rsidRDefault="00B03DA8" w:rsidP="00B82AB9">
            <w:pPr>
              <w:jc w:val="both"/>
              <w:rPr>
                <w:sz w:val="20"/>
                <w:szCs w:val="20"/>
                <w:lang w:val="en-US"/>
              </w:rPr>
            </w:pPr>
          </w:p>
        </w:tc>
        <w:tc>
          <w:tcPr>
            <w:tcW w:w="2188" w:type="dxa"/>
          </w:tcPr>
          <w:p w:rsidR="00B03DA8" w:rsidRDefault="00B03DA8" w:rsidP="00B82AB9">
            <w:pPr>
              <w:jc w:val="both"/>
              <w:rPr>
                <w:sz w:val="20"/>
                <w:szCs w:val="20"/>
                <w:lang w:val="en-US"/>
              </w:rPr>
            </w:pPr>
          </w:p>
        </w:tc>
      </w:tr>
      <w:tr w:rsidR="00B03DA8" w:rsidTr="00122A3E">
        <w:trPr>
          <w:cantSplit/>
        </w:trPr>
        <w:tc>
          <w:tcPr>
            <w:tcW w:w="3080" w:type="dxa"/>
          </w:tcPr>
          <w:p w:rsidR="00B03DA8" w:rsidRPr="00C636D6" w:rsidRDefault="00B03DA8" w:rsidP="00B82AB9">
            <w:pPr>
              <w:tabs>
                <w:tab w:val="num" w:pos="360"/>
              </w:tabs>
              <w:spacing w:after="60"/>
              <w:ind w:left="360" w:hanging="360"/>
              <w:rPr>
                <w:rFonts w:eastAsia="Times New Roman" w:cs="Times New Roman"/>
                <w:sz w:val="20"/>
                <w:lang w:val="en-AU"/>
              </w:rPr>
            </w:pPr>
            <w:r w:rsidRPr="00C636D6">
              <w:rPr>
                <w:rFonts w:eastAsia="Times New Roman" w:cs="Times New Roman"/>
                <w:sz w:val="20"/>
                <w:lang w:val="en-AU"/>
              </w:rPr>
              <w:t xml:space="preserve">Recovery </w:t>
            </w:r>
            <w:r w:rsidR="00AA7282" w:rsidRPr="00C636D6">
              <w:rPr>
                <w:rFonts w:eastAsia="Times New Roman" w:cs="Times New Roman"/>
                <w:sz w:val="20"/>
                <w:lang w:val="en-AU"/>
              </w:rPr>
              <w:t xml:space="preserve">of </w:t>
            </w:r>
            <w:r w:rsidRPr="00C636D6">
              <w:rPr>
                <w:rFonts w:eastAsia="Times New Roman" w:cs="Times New Roman"/>
                <w:sz w:val="20"/>
                <w:lang w:val="en-AU"/>
              </w:rPr>
              <w:t>OSCE data centre</w:t>
            </w:r>
            <w:r w:rsidR="00AA7282" w:rsidRPr="00C636D6">
              <w:rPr>
                <w:rFonts w:eastAsia="Times New Roman" w:cs="Times New Roman"/>
                <w:sz w:val="20"/>
                <w:lang w:val="en-AU"/>
              </w:rPr>
              <w:t xml:space="preserve"> (in case of disaster)</w:t>
            </w:r>
            <w:r w:rsidR="005D67EB">
              <w:rPr>
                <w:rFonts w:eastAsia="Times New Roman" w:cs="Times New Roman"/>
                <w:sz w:val="20"/>
                <w:lang w:val="en-AU"/>
              </w:rPr>
              <w:t xml:space="preserve"> and restoration to OSCE DC later</w:t>
            </w:r>
          </w:p>
          <w:p w:rsidR="00B03DA8" w:rsidRPr="00654F02" w:rsidRDefault="00B03DA8" w:rsidP="00B82AB9">
            <w:pPr>
              <w:jc w:val="both"/>
              <w:rPr>
                <w:sz w:val="20"/>
                <w:szCs w:val="20"/>
                <w:lang w:val="en-US"/>
              </w:rPr>
            </w:pPr>
          </w:p>
        </w:tc>
        <w:tc>
          <w:tcPr>
            <w:tcW w:w="1281" w:type="dxa"/>
          </w:tcPr>
          <w:p w:rsidR="00B03DA8" w:rsidRDefault="00B03DA8" w:rsidP="00B82AB9">
            <w:pPr>
              <w:jc w:val="both"/>
              <w:rPr>
                <w:sz w:val="20"/>
                <w:szCs w:val="20"/>
                <w:lang w:val="en-US"/>
              </w:rPr>
            </w:pPr>
            <w:r>
              <w:rPr>
                <w:sz w:val="20"/>
                <w:szCs w:val="20"/>
                <w:lang w:val="en-US"/>
              </w:rPr>
              <w:t>One-t</w:t>
            </w:r>
            <w:bookmarkStart w:id="0" w:name="_GoBack"/>
            <w:bookmarkEnd w:id="0"/>
            <w:r>
              <w:rPr>
                <w:sz w:val="20"/>
                <w:szCs w:val="20"/>
                <w:lang w:val="en-US"/>
              </w:rPr>
              <w:t>ime</w:t>
            </w:r>
          </w:p>
        </w:tc>
        <w:tc>
          <w:tcPr>
            <w:tcW w:w="2693" w:type="dxa"/>
          </w:tcPr>
          <w:p w:rsidR="00B03DA8" w:rsidRDefault="00B03DA8" w:rsidP="00B82AB9">
            <w:pPr>
              <w:jc w:val="both"/>
              <w:rPr>
                <w:sz w:val="20"/>
                <w:szCs w:val="20"/>
                <w:lang w:val="en-US"/>
              </w:rPr>
            </w:pPr>
          </w:p>
        </w:tc>
        <w:tc>
          <w:tcPr>
            <w:tcW w:w="2188" w:type="dxa"/>
          </w:tcPr>
          <w:p w:rsidR="00B03DA8" w:rsidRDefault="00B03DA8" w:rsidP="00B82AB9">
            <w:pPr>
              <w:jc w:val="both"/>
              <w:rPr>
                <w:sz w:val="20"/>
                <w:szCs w:val="20"/>
                <w:lang w:val="en-US"/>
              </w:rPr>
            </w:pPr>
          </w:p>
        </w:tc>
      </w:tr>
      <w:tr w:rsidR="00B03DA8" w:rsidTr="00122A3E">
        <w:trPr>
          <w:cantSplit/>
        </w:trPr>
        <w:tc>
          <w:tcPr>
            <w:tcW w:w="3080" w:type="dxa"/>
          </w:tcPr>
          <w:p w:rsidR="00B03DA8" w:rsidRPr="00C636D6" w:rsidRDefault="00B03DA8" w:rsidP="00B82AB9">
            <w:pPr>
              <w:tabs>
                <w:tab w:val="num" w:pos="360"/>
              </w:tabs>
              <w:spacing w:after="60"/>
              <w:rPr>
                <w:rFonts w:eastAsia="Times New Roman" w:cs="Times New Roman"/>
                <w:sz w:val="20"/>
                <w:lang w:val="en-AU"/>
              </w:rPr>
            </w:pPr>
            <w:r w:rsidRPr="00C636D6">
              <w:rPr>
                <w:rFonts w:eastAsia="Times New Roman" w:cs="Times New Roman"/>
                <w:sz w:val="20"/>
                <w:lang w:val="en-AU"/>
              </w:rPr>
              <w:t>Operating OSCE ICT services at DR location provided by the Bidder (in case of disaster and the OSCE datacentre is down)</w:t>
            </w:r>
          </w:p>
        </w:tc>
        <w:tc>
          <w:tcPr>
            <w:tcW w:w="1281" w:type="dxa"/>
          </w:tcPr>
          <w:p w:rsidR="00B03DA8" w:rsidRDefault="00B03DA8" w:rsidP="00B82AB9">
            <w:pPr>
              <w:jc w:val="both"/>
              <w:rPr>
                <w:sz w:val="20"/>
                <w:szCs w:val="20"/>
                <w:lang w:val="en-US"/>
              </w:rPr>
            </w:pPr>
            <w:r>
              <w:rPr>
                <w:sz w:val="20"/>
                <w:szCs w:val="20"/>
                <w:lang w:val="en-US"/>
              </w:rPr>
              <w:t>Day</w:t>
            </w:r>
          </w:p>
        </w:tc>
        <w:tc>
          <w:tcPr>
            <w:tcW w:w="2693" w:type="dxa"/>
          </w:tcPr>
          <w:p w:rsidR="00B03DA8" w:rsidRDefault="00B03DA8" w:rsidP="00B82AB9">
            <w:pPr>
              <w:jc w:val="both"/>
              <w:rPr>
                <w:sz w:val="20"/>
                <w:szCs w:val="20"/>
                <w:lang w:val="en-US"/>
              </w:rPr>
            </w:pPr>
          </w:p>
        </w:tc>
        <w:tc>
          <w:tcPr>
            <w:tcW w:w="2188" w:type="dxa"/>
          </w:tcPr>
          <w:p w:rsidR="00B03DA8" w:rsidRDefault="00B03DA8" w:rsidP="00B82AB9">
            <w:pPr>
              <w:jc w:val="both"/>
              <w:rPr>
                <w:sz w:val="20"/>
                <w:szCs w:val="20"/>
                <w:lang w:val="en-US"/>
              </w:rPr>
            </w:pPr>
          </w:p>
        </w:tc>
      </w:tr>
      <w:tr w:rsidR="00B03DA8" w:rsidTr="00122A3E">
        <w:trPr>
          <w:cantSplit/>
        </w:trPr>
        <w:tc>
          <w:tcPr>
            <w:tcW w:w="3080" w:type="dxa"/>
          </w:tcPr>
          <w:p w:rsidR="00B03DA8" w:rsidRPr="00C636D6" w:rsidRDefault="00B03DA8" w:rsidP="00B82AB9">
            <w:pPr>
              <w:tabs>
                <w:tab w:val="num" w:pos="360"/>
              </w:tabs>
              <w:spacing w:after="60"/>
              <w:rPr>
                <w:rFonts w:eastAsia="Times New Roman" w:cs="Times New Roman"/>
                <w:sz w:val="20"/>
                <w:lang w:val="en-AU"/>
              </w:rPr>
            </w:pPr>
            <w:r w:rsidRPr="00C636D6">
              <w:rPr>
                <w:rFonts w:eastAsia="Times New Roman" w:cs="Times New Roman"/>
                <w:sz w:val="20"/>
                <w:lang w:val="en-AU"/>
              </w:rPr>
              <w:t>Operating OSCE ICT services at DR location provided by the Bidder (in case of disaster and the OSCE datacentre is down)</w:t>
            </w:r>
          </w:p>
        </w:tc>
        <w:tc>
          <w:tcPr>
            <w:tcW w:w="1281" w:type="dxa"/>
          </w:tcPr>
          <w:p w:rsidR="00B03DA8" w:rsidRDefault="00B03DA8" w:rsidP="00B82AB9">
            <w:pPr>
              <w:jc w:val="both"/>
              <w:rPr>
                <w:sz w:val="20"/>
                <w:szCs w:val="20"/>
                <w:lang w:val="en-US"/>
              </w:rPr>
            </w:pPr>
            <w:r>
              <w:rPr>
                <w:sz w:val="20"/>
                <w:szCs w:val="20"/>
                <w:lang w:val="en-US"/>
              </w:rPr>
              <w:t>Month</w:t>
            </w:r>
          </w:p>
        </w:tc>
        <w:tc>
          <w:tcPr>
            <w:tcW w:w="2693" w:type="dxa"/>
          </w:tcPr>
          <w:p w:rsidR="00B03DA8" w:rsidRDefault="00B03DA8" w:rsidP="00B82AB9">
            <w:pPr>
              <w:jc w:val="both"/>
              <w:rPr>
                <w:sz w:val="20"/>
                <w:szCs w:val="20"/>
                <w:lang w:val="en-US"/>
              </w:rPr>
            </w:pPr>
          </w:p>
        </w:tc>
        <w:tc>
          <w:tcPr>
            <w:tcW w:w="2188" w:type="dxa"/>
          </w:tcPr>
          <w:p w:rsidR="00B03DA8" w:rsidRDefault="00B03DA8" w:rsidP="00B82AB9">
            <w:pPr>
              <w:jc w:val="both"/>
              <w:rPr>
                <w:sz w:val="20"/>
                <w:szCs w:val="20"/>
                <w:lang w:val="en-US"/>
              </w:rPr>
            </w:pPr>
          </w:p>
        </w:tc>
      </w:tr>
      <w:tr w:rsidR="00B03DA8" w:rsidTr="00122A3E">
        <w:trPr>
          <w:cantSplit/>
        </w:trPr>
        <w:tc>
          <w:tcPr>
            <w:tcW w:w="3080" w:type="dxa"/>
          </w:tcPr>
          <w:p w:rsidR="00B03DA8" w:rsidRPr="00654F02" w:rsidRDefault="00B03DA8" w:rsidP="00B82AB9">
            <w:pPr>
              <w:jc w:val="both"/>
              <w:rPr>
                <w:sz w:val="20"/>
                <w:szCs w:val="20"/>
                <w:lang w:val="en-US"/>
              </w:rPr>
            </w:pPr>
            <w:r w:rsidRPr="00C636D6">
              <w:rPr>
                <w:rFonts w:eastAsia="Times New Roman" w:cs="Times New Roman"/>
                <w:sz w:val="20"/>
                <w:lang w:val="en-AU"/>
              </w:rPr>
              <w:t>DR test</w:t>
            </w:r>
          </w:p>
        </w:tc>
        <w:tc>
          <w:tcPr>
            <w:tcW w:w="1281" w:type="dxa"/>
          </w:tcPr>
          <w:p w:rsidR="00B03DA8" w:rsidRDefault="00B03DA8" w:rsidP="00B03DA8">
            <w:pPr>
              <w:jc w:val="both"/>
              <w:rPr>
                <w:sz w:val="20"/>
                <w:szCs w:val="20"/>
                <w:lang w:val="en-US"/>
              </w:rPr>
            </w:pPr>
            <w:r>
              <w:rPr>
                <w:sz w:val="20"/>
                <w:szCs w:val="20"/>
                <w:lang w:val="en-US"/>
              </w:rPr>
              <w:t>One-time annually</w:t>
            </w:r>
          </w:p>
        </w:tc>
        <w:tc>
          <w:tcPr>
            <w:tcW w:w="2693" w:type="dxa"/>
          </w:tcPr>
          <w:p w:rsidR="00B03DA8" w:rsidRDefault="00B03DA8" w:rsidP="00B82AB9">
            <w:pPr>
              <w:jc w:val="both"/>
              <w:rPr>
                <w:sz w:val="20"/>
                <w:szCs w:val="20"/>
                <w:lang w:val="en-US"/>
              </w:rPr>
            </w:pPr>
          </w:p>
        </w:tc>
        <w:tc>
          <w:tcPr>
            <w:tcW w:w="2188" w:type="dxa"/>
          </w:tcPr>
          <w:p w:rsidR="00B03DA8" w:rsidRDefault="00B03DA8" w:rsidP="00B82AB9">
            <w:pPr>
              <w:jc w:val="both"/>
              <w:rPr>
                <w:sz w:val="20"/>
                <w:szCs w:val="20"/>
                <w:lang w:val="en-US"/>
              </w:rPr>
            </w:pPr>
          </w:p>
        </w:tc>
      </w:tr>
      <w:tr w:rsidR="00405BA9" w:rsidRPr="000A195E" w:rsidTr="00122A3E">
        <w:trPr>
          <w:cantSplit/>
        </w:trPr>
        <w:tc>
          <w:tcPr>
            <w:tcW w:w="3080" w:type="dxa"/>
          </w:tcPr>
          <w:p w:rsidR="00405BA9" w:rsidRPr="00C636D6" w:rsidRDefault="00405BA9" w:rsidP="000A195E">
            <w:pPr>
              <w:jc w:val="both"/>
              <w:rPr>
                <w:rFonts w:eastAsia="Times New Roman" w:cs="Times New Roman"/>
                <w:sz w:val="20"/>
                <w:lang w:val="en-AU"/>
              </w:rPr>
            </w:pPr>
            <w:r w:rsidRPr="00C636D6">
              <w:rPr>
                <w:rFonts w:eastAsia="Times New Roman" w:cs="Times New Roman"/>
                <w:sz w:val="20"/>
                <w:lang w:val="en-AU"/>
              </w:rPr>
              <w:t xml:space="preserve">Indicative costs </w:t>
            </w:r>
            <w:r w:rsidR="000A195E" w:rsidRPr="00C636D6">
              <w:rPr>
                <w:rFonts w:ascii="Calibri" w:hAnsi="Calibri" w:cs="Calibri"/>
                <w:color w:val="000000"/>
                <w:sz w:val="20"/>
                <w:lang w:eastAsia="en-GB"/>
              </w:rPr>
              <w:t>of migration to fully virtualized infrastructure provided by Bidder (with minimal OSCE hardware)</w:t>
            </w:r>
          </w:p>
        </w:tc>
        <w:tc>
          <w:tcPr>
            <w:tcW w:w="1281" w:type="dxa"/>
          </w:tcPr>
          <w:p w:rsidR="00405BA9" w:rsidRDefault="00C636D6" w:rsidP="00B03DA8">
            <w:pPr>
              <w:jc w:val="both"/>
              <w:rPr>
                <w:sz w:val="20"/>
                <w:szCs w:val="20"/>
                <w:lang w:val="en-US"/>
              </w:rPr>
            </w:pPr>
            <w:r>
              <w:rPr>
                <w:sz w:val="20"/>
                <w:szCs w:val="20"/>
                <w:lang w:val="en-US"/>
              </w:rPr>
              <w:t>One-time</w:t>
            </w:r>
          </w:p>
        </w:tc>
        <w:tc>
          <w:tcPr>
            <w:tcW w:w="2693" w:type="dxa"/>
          </w:tcPr>
          <w:p w:rsidR="00405BA9" w:rsidRDefault="00405BA9" w:rsidP="00B82AB9">
            <w:pPr>
              <w:jc w:val="both"/>
              <w:rPr>
                <w:sz w:val="20"/>
                <w:szCs w:val="20"/>
                <w:lang w:val="en-US"/>
              </w:rPr>
            </w:pPr>
          </w:p>
        </w:tc>
        <w:tc>
          <w:tcPr>
            <w:tcW w:w="2188" w:type="dxa"/>
          </w:tcPr>
          <w:p w:rsidR="00405BA9" w:rsidRDefault="00405BA9" w:rsidP="00B82AB9">
            <w:pPr>
              <w:jc w:val="both"/>
              <w:rPr>
                <w:sz w:val="20"/>
                <w:szCs w:val="20"/>
                <w:lang w:val="en-US"/>
              </w:rPr>
            </w:pPr>
          </w:p>
        </w:tc>
      </w:tr>
      <w:tr w:rsidR="000A195E" w:rsidRPr="000A195E" w:rsidTr="00122A3E">
        <w:trPr>
          <w:cantSplit/>
        </w:trPr>
        <w:tc>
          <w:tcPr>
            <w:tcW w:w="3080" w:type="dxa"/>
          </w:tcPr>
          <w:p w:rsidR="000A195E" w:rsidRPr="00C636D6" w:rsidRDefault="000A195E" w:rsidP="000A195E">
            <w:pPr>
              <w:jc w:val="both"/>
              <w:rPr>
                <w:rFonts w:eastAsia="Times New Roman" w:cs="Times New Roman"/>
                <w:sz w:val="20"/>
                <w:lang w:val="en-AU"/>
              </w:rPr>
            </w:pPr>
            <w:r w:rsidRPr="00C636D6">
              <w:rPr>
                <w:rFonts w:ascii="Calibri" w:hAnsi="Calibri" w:cs="Calibri"/>
                <w:color w:val="000000"/>
                <w:sz w:val="20"/>
                <w:lang w:eastAsia="en-GB"/>
              </w:rPr>
              <w:t>Indicative costs of the above services in case of a fully virtualized shared infrastructure provided by Bidder (with minimal OSCE hardware)</w:t>
            </w:r>
          </w:p>
        </w:tc>
        <w:tc>
          <w:tcPr>
            <w:tcW w:w="1281" w:type="dxa"/>
          </w:tcPr>
          <w:p w:rsidR="000A195E" w:rsidRDefault="00122A3E" w:rsidP="00122A3E">
            <w:pPr>
              <w:jc w:val="both"/>
              <w:rPr>
                <w:sz w:val="20"/>
                <w:szCs w:val="20"/>
                <w:lang w:val="en-US"/>
              </w:rPr>
            </w:pPr>
            <w:r>
              <w:rPr>
                <w:sz w:val="20"/>
                <w:szCs w:val="20"/>
                <w:lang w:val="en-US"/>
              </w:rPr>
              <w:t>Day</w:t>
            </w:r>
          </w:p>
        </w:tc>
        <w:tc>
          <w:tcPr>
            <w:tcW w:w="2693" w:type="dxa"/>
          </w:tcPr>
          <w:p w:rsidR="000A195E" w:rsidRDefault="000A195E" w:rsidP="00B82AB9">
            <w:pPr>
              <w:jc w:val="both"/>
              <w:rPr>
                <w:sz w:val="20"/>
                <w:szCs w:val="20"/>
                <w:lang w:val="en-US"/>
              </w:rPr>
            </w:pPr>
          </w:p>
        </w:tc>
        <w:tc>
          <w:tcPr>
            <w:tcW w:w="2188" w:type="dxa"/>
          </w:tcPr>
          <w:p w:rsidR="000A195E" w:rsidRDefault="000A195E" w:rsidP="00B82AB9">
            <w:pPr>
              <w:jc w:val="both"/>
              <w:rPr>
                <w:sz w:val="20"/>
                <w:szCs w:val="20"/>
                <w:lang w:val="en-US"/>
              </w:rPr>
            </w:pPr>
          </w:p>
        </w:tc>
      </w:tr>
      <w:tr w:rsidR="00122A3E" w:rsidRPr="00CC225C" w:rsidTr="00122A3E">
        <w:trPr>
          <w:cantSplit/>
        </w:trPr>
        <w:tc>
          <w:tcPr>
            <w:tcW w:w="3080" w:type="dxa"/>
          </w:tcPr>
          <w:p w:rsidR="00122A3E" w:rsidRPr="00C636D6" w:rsidRDefault="00122A3E" w:rsidP="00CC225C">
            <w:pPr>
              <w:jc w:val="both"/>
              <w:rPr>
                <w:rFonts w:eastAsia="Times New Roman" w:cs="Times New Roman"/>
                <w:sz w:val="20"/>
                <w:lang w:val="en-AU"/>
              </w:rPr>
            </w:pPr>
            <w:r w:rsidRPr="00C636D6">
              <w:rPr>
                <w:rFonts w:ascii="Calibri" w:hAnsi="Calibri" w:cs="Calibri"/>
                <w:color w:val="000000"/>
                <w:sz w:val="20"/>
                <w:lang w:eastAsia="en-GB"/>
              </w:rPr>
              <w:lastRenderedPageBreak/>
              <w:t>Indicative costs of the above services in case of a fully virtualized shared infrastructure provided by Bidder (with minimal OSCE hardware)</w:t>
            </w:r>
          </w:p>
        </w:tc>
        <w:tc>
          <w:tcPr>
            <w:tcW w:w="1281" w:type="dxa"/>
          </w:tcPr>
          <w:p w:rsidR="00122A3E" w:rsidRDefault="00122A3E" w:rsidP="00CC225C">
            <w:pPr>
              <w:jc w:val="both"/>
              <w:rPr>
                <w:sz w:val="20"/>
                <w:szCs w:val="20"/>
                <w:lang w:val="en-US"/>
              </w:rPr>
            </w:pPr>
            <w:r>
              <w:rPr>
                <w:sz w:val="20"/>
                <w:szCs w:val="20"/>
                <w:lang w:val="en-US"/>
              </w:rPr>
              <w:t>Month</w:t>
            </w:r>
          </w:p>
        </w:tc>
        <w:tc>
          <w:tcPr>
            <w:tcW w:w="2693" w:type="dxa"/>
          </w:tcPr>
          <w:p w:rsidR="00122A3E" w:rsidRDefault="00122A3E" w:rsidP="00CC225C">
            <w:pPr>
              <w:jc w:val="both"/>
              <w:rPr>
                <w:sz w:val="20"/>
                <w:szCs w:val="20"/>
                <w:lang w:val="en-US"/>
              </w:rPr>
            </w:pPr>
          </w:p>
        </w:tc>
        <w:tc>
          <w:tcPr>
            <w:tcW w:w="2188" w:type="dxa"/>
          </w:tcPr>
          <w:p w:rsidR="00122A3E" w:rsidRDefault="00122A3E" w:rsidP="00CC225C">
            <w:pPr>
              <w:jc w:val="both"/>
              <w:rPr>
                <w:sz w:val="20"/>
                <w:szCs w:val="20"/>
                <w:lang w:val="en-US"/>
              </w:rPr>
            </w:pPr>
          </w:p>
        </w:tc>
      </w:tr>
      <w:tr w:rsidR="00654F02" w:rsidTr="00122A3E">
        <w:trPr>
          <w:cantSplit/>
        </w:trPr>
        <w:tc>
          <w:tcPr>
            <w:tcW w:w="3080" w:type="dxa"/>
          </w:tcPr>
          <w:p w:rsidR="00654F02" w:rsidRPr="00C636D6" w:rsidRDefault="00654F02" w:rsidP="00CC225C">
            <w:pPr>
              <w:tabs>
                <w:tab w:val="num" w:pos="360"/>
              </w:tabs>
              <w:spacing w:after="60"/>
              <w:ind w:left="360" w:hanging="360"/>
              <w:rPr>
                <w:rFonts w:eastAsia="Times New Roman" w:cs="Times New Roman"/>
                <w:sz w:val="20"/>
                <w:lang w:val="en-AU"/>
              </w:rPr>
            </w:pPr>
            <w:r w:rsidRPr="00C636D6">
              <w:rPr>
                <w:rFonts w:eastAsia="Times New Roman" w:cs="Times New Roman"/>
                <w:sz w:val="20"/>
                <w:lang w:val="en-AU"/>
              </w:rPr>
              <w:t xml:space="preserve">Optional: Hosting of DR environment (rack space only) per physical server </w:t>
            </w:r>
          </w:p>
        </w:tc>
        <w:tc>
          <w:tcPr>
            <w:tcW w:w="1281" w:type="dxa"/>
          </w:tcPr>
          <w:p w:rsidR="00654F02" w:rsidRPr="003D7735" w:rsidRDefault="00654F02" w:rsidP="00CC225C">
            <w:pPr>
              <w:jc w:val="both"/>
              <w:rPr>
                <w:sz w:val="20"/>
                <w:szCs w:val="20"/>
                <w:lang w:val="en-AU"/>
              </w:rPr>
            </w:pPr>
            <w:r>
              <w:rPr>
                <w:sz w:val="20"/>
                <w:szCs w:val="20"/>
                <w:lang w:val="en-AU"/>
              </w:rPr>
              <w:t>Month</w:t>
            </w:r>
          </w:p>
        </w:tc>
        <w:tc>
          <w:tcPr>
            <w:tcW w:w="2693" w:type="dxa"/>
          </w:tcPr>
          <w:p w:rsidR="00654F02" w:rsidRDefault="00654F02" w:rsidP="00CC225C">
            <w:pPr>
              <w:jc w:val="both"/>
              <w:rPr>
                <w:sz w:val="20"/>
                <w:szCs w:val="20"/>
                <w:lang w:val="en-US"/>
              </w:rPr>
            </w:pPr>
          </w:p>
        </w:tc>
        <w:tc>
          <w:tcPr>
            <w:tcW w:w="2188" w:type="dxa"/>
          </w:tcPr>
          <w:p w:rsidR="00654F02" w:rsidRDefault="00654F02" w:rsidP="00CC225C">
            <w:pPr>
              <w:jc w:val="both"/>
              <w:rPr>
                <w:sz w:val="20"/>
                <w:szCs w:val="20"/>
                <w:lang w:val="en-US"/>
              </w:rPr>
            </w:pPr>
          </w:p>
        </w:tc>
      </w:tr>
      <w:tr w:rsidR="00B03DA8" w:rsidTr="00122A3E">
        <w:trPr>
          <w:cantSplit/>
        </w:trPr>
        <w:tc>
          <w:tcPr>
            <w:tcW w:w="3080" w:type="dxa"/>
          </w:tcPr>
          <w:p w:rsidR="00B03DA8" w:rsidRDefault="00B03DA8" w:rsidP="00B82AB9">
            <w:pPr>
              <w:jc w:val="both"/>
              <w:rPr>
                <w:sz w:val="20"/>
                <w:szCs w:val="20"/>
                <w:lang w:val="en-US"/>
              </w:rPr>
            </w:pPr>
            <w:r>
              <w:rPr>
                <w:sz w:val="20"/>
                <w:szCs w:val="20"/>
                <w:lang w:val="en-US"/>
              </w:rPr>
              <w:t>Any other costs (please specify)</w:t>
            </w:r>
          </w:p>
        </w:tc>
        <w:tc>
          <w:tcPr>
            <w:tcW w:w="1281" w:type="dxa"/>
          </w:tcPr>
          <w:p w:rsidR="00B03DA8" w:rsidRDefault="00B03DA8" w:rsidP="00B82AB9">
            <w:pPr>
              <w:jc w:val="both"/>
              <w:rPr>
                <w:sz w:val="20"/>
                <w:szCs w:val="20"/>
                <w:lang w:val="en-US"/>
              </w:rPr>
            </w:pPr>
          </w:p>
        </w:tc>
        <w:tc>
          <w:tcPr>
            <w:tcW w:w="2693" w:type="dxa"/>
          </w:tcPr>
          <w:p w:rsidR="00B03DA8" w:rsidRDefault="00B03DA8" w:rsidP="00B82AB9">
            <w:pPr>
              <w:jc w:val="both"/>
              <w:rPr>
                <w:sz w:val="20"/>
                <w:szCs w:val="20"/>
                <w:lang w:val="en-US"/>
              </w:rPr>
            </w:pPr>
          </w:p>
        </w:tc>
        <w:tc>
          <w:tcPr>
            <w:tcW w:w="2188" w:type="dxa"/>
          </w:tcPr>
          <w:p w:rsidR="00B03DA8" w:rsidRDefault="00B03DA8" w:rsidP="00B82AB9">
            <w:pPr>
              <w:jc w:val="both"/>
              <w:rPr>
                <w:sz w:val="20"/>
                <w:szCs w:val="20"/>
                <w:lang w:val="en-US"/>
              </w:rPr>
            </w:pPr>
          </w:p>
        </w:tc>
      </w:tr>
    </w:tbl>
    <w:p w:rsidR="00B03DA8" w:rsidRDefault="00B03DA8" w:rsidP="00B03DA8">
      <w:pPr>
        <w:spacing w:after="0"/>
        <w:jc w:val="both"/>
        <w:rPr>
          <w:sz w:val="20"/>
          <w:szCs w:val="20"/>
          <w:lang w:val="en-US"/>
        </w:rPr>
      </w:pPr>
    </w:p>
    <w:p w:rsidR="00B03DA8" w:rsidRDefault="00B03DA8" w:rsidP="00B03DA8">
      <w:pPr>
        <w:spacing w:after="0"/>
        <w:jc w:val="both"/>
        <w:rPr>
          <w:sz w:val="20"/>
          <w:szCs w:val="20"/>
          <w:lang w:val="en-US"/>
        </w:rPr>
      </w:pPr>
      <w:r w:rsidRPr="009059B3">
        <w:rPr>
          <w:rFonts w:eastAsia="Times New Roman" w:cs="Times New Roman"/>
          <w:lang w:val="en-AU"/>
        </w:rPr>
        <w:t>Costs must be modular and flexible (e.g. based on services to recover, number of servers or storage capacity). OSCE should have the ability to scale the solution up and down by adding and removing services</w:t>
      </w:r>
      <w:r w:rsidR="003465EB">
        <w:rPr>
          <w:rFonts w:eastAsia="Times New Roman" w:cs="Times New Roman"/>
          <w:lang w:val="en-AU"/>
        </w:rPr>
        <w:t xml:space="preserve"> </w:t>
      </w:r>
      <w:r w:rsidR="000A195E">
        <w:rPr>
          <w:rFonts w:eastAsia="Times New Roman" w:cs="Times New Roman"/>
          <w:lang w:val="en-AU"/>
        </w:rPr>
        <w:t>on quarterly basis</w:t>
      </w:r>
      <w:r w:rsidRPr="009059B3">
        <w:rPr>
          <w:rFonts w:eastAsia="Times New Roman" w:cs="Times New Roman"/>
          <w:lang w:val="en-AU"/>
        </w:rPr>
        <w:t>.</w:t>
      </w:r>
    </w:p>
    <w:p w:rsidR="00B03DA8" w:rsidRDefault="00B03DA8" w:rsidP="00B03DA8">
      <w:pPr>
        <w:spacing w:after="0"/>
        <w:jc w:val="both"/>
        <w:rPr>
          <w:sz w:val="20"/>
          <w:szCs w:val="20"/>
          <w:lang w:val="en-US"/>
        </w:rPr>
      </w:pPr>
    </w:p>
    <w:p w:rsidR="00B03DA8" w:rsidRPr="00FA2CAB" w:rsidRDefault="00B03DA8" w:rsidP="00B03DA8">
      <w:pPr>
        <w:jc w:val="both"/>
        <w:rPr>
          <w:rFonts w:cs="Tahoma"/>
          <w:b/>
          <w:sz w:val="20"/>
          <w:szCs w:val="20"/>
        </w:rPr>
      </w:pPr>
      <w:r w:rsidRPr="00FA2CAB">
        <w:rPr>
          <w:rFonts w:cs="Tahoma"/>
          <w:b/>
          <w:sz w:val="20"/>
          <w:szCs w:val="20"/>
        </w:rPr>
        <w:t xml:space="preserve">By signing this Financial Proposal, Bidders accept that any Purchase Order or Contract pursuant to this Proposal will be subject to the OSCE General Conditions of Contract </w:t>
      </w:r>
      <w:hyperlink r:id="rId5" w:history="1">
        <w:r w:rsidRPr="00FA2CAB">
          <w:rPr>
            <w:rStyle w:val="Hyperlink"/>
            <w:rFonts w:cs="Tahoma"/>
            <w:b/>
            <w:sz w:val="20"/>
            <w:szCs w:val="20"/>
          </w:rPr>
          <w:t>http://www.osce.org/procurement</w:t>
        </w:r>
      </w:hyperlink>
      <w:r w:rsidRPr="00FA2CAB">
        <w:rPr>
          <w:rFonts w:cs="Tahoma"/>
          <w:b/>
          <w:sz w:val="20"/>
          <w:szCs w:val="20"/>
        </w:rPr>
        <w:t xml:space="preserve">. </w:t>
      </w:r>
    </w:p>
    <w:p w:rsidR="00C6111C" w:rsidRDefault="00C6111C"/>
    <w:sectPr w:rsidR="00C6111C" w:rsidSect="00185048">
      <w:pgSz w:w="11906" w:h="16838"/>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DA8"/>
    <w:rsid w:val="000730E2"/>
    <w:rsid w:val="000A195E"/>
    <w:rsid w:val="00122A3E"/>
    <w:rsid w:val="00185048"/>
    <w:rsid w:val="001E7634"/>
    <w:rsid w:val="003465EB"/>
    <w:rsid w:val="003D1B0B"/>
    <w:rsid w:val="003D7735"/>
    <w:rsid w:val="00405BA9"/>
    <w:rsid w:val="005D67EB"/>
    <w:rsid w:val="0062731F"/>
    <w:rsid w:val="00654F02"/>
    <w:rsid w:val="006D4A92"/>
    <w:rsid w:val="00A00770"/>
    <w:rsid w:val="00AA7282"/>
    <w:rsid w:val="00B03DA8"/>
    <w:rsid w:val="00C6111C"/>
    <w:rsid w:val="00C636D6"/>
    <w:rsid w:val="00E17960"/>
    <w:rsid w:val="00F73F1E"/>
    <w:rsid w:val="00FA36AB"/>
    <w:rsid w:val="00FB6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A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DA8"/>
    <w:rPr>
      <w:color w:val="0000FF" w:themeColor="hyperlink"/>
      <w:u w:val="single"/>
    </w:rPr>
  </w:style>
  <w:style w:type="table" w:styleId="TableGrid">
    <w:name w:val="Table Grid"/>
    <w:basedOn w:val="TableNormal"/>
    <w:uiPriority w:val="59"/>
    <w:rsid w:val="00B03DA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A8"/>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3DA8"/>
    <w:rPr>
      <w:color w:val="0000FF" w:themeColor="hyperlink"/>
      <w:u w:val="single"/>
    </w:rPr>
  </w:style>
  <w:style w:type="table" w:styleId="TableGrid">
    <w:name w:val="Table Grid"/>
    <w:basedOn w:val="TableNormal"/>
    <w:uiPriority w:val="59"/>
    <w:rsid w:val="00B03DA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sce.org/procur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1512</Characters>
  <Application>Microsoft Office Word</Application>
  <DocSecurity>4</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Green</dc:creator>
  <cp:lastModifiedBy>Christopher Green</cp:lastModifiedBy>
  <cp:revision>2</cp:revision>
  <dcterms:created xsi:type="dcterms:W3CDTF">2014-11-14T10:08:00Z</dcterms:created>
  <dcterms:modified xsi:type="dcterms:W3CDTF">2014-11-14T10:08:00Z</dcterms:modified>
</cp:coreProperties>
</file>